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260"/>
        </w:tabs>
        <w:spacing w:line="360" w:lineRule="auto"/>
        <w:ind w:firstLine="630" w:firstLineChars="300"/>
        <w:rPr>
          <w:rFonts w:ascii="宋体" w:cs="宋体"/>
          <w:color w:val="auto"/>
          <w:szCs w:val="21"/>
        </w:rPr>
      </w:pPr>
      <w:bookmarkStart w:id="0" w:name="_Toc37051832"/>
      <w:r>
        <w:rPr>
          <w:color w:val="auto"/>
        </w:rPr>
        <w:drawing>
          <wp:inline distT="0" distB="0" distL="0" distR="0">
            <wp:extent cx="1612900" cy="914400"/>
            <wp:effectExtent l="0" t="0" r="635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noChangeArrowheads="1"/>
                    </pic:cNvPicPr>
                  </pic:nvPicPr>
                  <pic:blipFill>
                    <a:blip r:embed="rId13"/>
                    <a:srcRect/>
                    <a:stretch>
                      <a:fillRect/>
                    </a:stretch>
                  </pic:blipFill>
                  <pic:spPr>
                    <a:xfrm>
                      <a:off x="0" y="0"/>
                      <a:ext cx="1612900" cy="914400"/>
                    </a:xfrm>
                    <a:prstGeom prst="rect">
                      <a:avLst/>
                    </a:prstGeom>
                    <a:noFill/>
                    <a:ln w="9525">
                      <a:noFill/>
                      <a:miter lim="800000"/>
                      <a:headEnd/>
                      <a:tailEnd/>
                    </a:ln>
                    <a:effectLst/>
                  </pic:spPr>
                </pic:pic>
              </a:graphicData>
            </a:graphic>
          </wp:inline>
        </w:drawing>
      </w:r>
    </w:p>
    <w:p>
      <w:pPr>
        <w:pStyle w:val="39"/>
        <w:jc w:val="center"/>
        <w:rPr>
          <w:rFonts w:ascii="宋体" w:hAnsi="宋体" w:cs="宋体"/>
          <w:b/>
          <w:color w:val="auto"/>
          <w:sz w:val="52"/>
          <w:szCs w:val="52"/>
        </w:rPr>
      </w:pPr>
    </w:p>
    <w:p>
      <w:pPr>
        <w:pStyle w:val="39"/>
        <w:jc w:val="center"/>
        <w:rPr>
          <w:color w:val="auto"/>
          <w:sz w:val="52"/>
          <w:szCs w:val="52"/>
        </w:rPr>
      </w:pPr>
      <w:r>
        <w:rPr>
          <w:rFonts w:hint="eastAsia" w:ascii="宋体" w:hAnsi="宋体" w:cs="宋体"/>
          <w:b/>
          <w:color w:val="auto"/>
          <w:sz w:val="52"/>
          <w:szCs w:val="52"/>
        </w:rPr>
        <w:t>高明区人民医院被服洗涤服务项目</w:t>
      </w:r>
    </w:p>
    <w:p>
      <w:pPr>
        <w:pStyle w:val="39"/>
        <w:rPr>
          <w:color w:val="auto"/>
        </w:rPr>
      </w:pPr>
    </w:p>
    <w:p>
      <w:pPr>
        <w:pStyle w:val="39"/>
        <w:rPr>
          <w:color w:val="auto"/>
        </w:rPr>
      </w:pPr>
    </w:p>
    <w:p>
      <w:pPr>
        <w:pStyle w:val="39"/>
        <w:rPr>
          <w:color w:val="auto"/>
        </w:rPr>
      </w:pPr>
    </w:p>
    <w:p>
      <w:pPr>
        <w:pStyle w:val="39"/>
        <w:rPr>
          <w:color w:val="auto"/>
        </w:rPr>
      </w:pPr>
    </w:p>
    <w:p>
      <w:pPr>
        <w:pStyle w:val="39"/>
        <w:rPr>
          <w:color w:val="auto"/>
        </w:rPr>
      </w:pPr>
    </w:p>
    <w:p>
      <w:pPr>
        <w:autoSpaceDE w:val="0"/>
        <w:autoSpaceDN w:val="0"/>
        <w:adjustRightInd w:val="0"/>
        <w:spacing w:line="360" w:lineRule="auto"/>
        <w:jc w:val="center"/>
        <w:rPr>
          <w:rFonts w:ascii="宋体" w:hAnsi="宋体"/>
          <w:b/>
          <w:color w:val="auto"/>
          <w:sz w:val="40"/>
          <w:szCs w:val="40"/>
          <w:shd w:val="clear" w:color="auto" w:fill="FFFFFF"/>
        </w:rPr>
      </w:pPr>
      <w:r>
        <w:rPr>
          <w:rFonts w:hint="eastAsia" w:ascii="宋体" w:cs="宋体"/>
          <w:b/>
          <w:color w:val="auto"/>
          <w:kern w:val="0"/>
          <w:sz w:val="36"/>
          <w:szCs w:val="36"/>
        </w:rPr>
        <w:t>（项目编号：XZ20200401）</w:t>
      </w:r>
    </w:p>
    <w:p>
      <w:pPr>
        <w:autoSpaceDE w:val="0"/>
        <w:autoSpaceDN w:val="0"/>
        <w:adjustRightInd w:val="0"/>
        <w:spacing w:line="360" w:lineRule="auto"/>
        <w:jc w:val="center"/>
        <w:rPr>
          <w:rFonts w:ascii="宋体" w:cs="宋体"/>
          <w:b/>
          <w:color w:val="auto"/>
          <w:kern w:val="0"/>
          <w:sz w:val="84"/>
          <w:szCs w:val="84"/>
        </w:rPr>
      </w:pPr>
    </w:p>
    <w:p>
      <w:pPr>
        <w:autoSpaceDE w:val="0"/>
        <w:autoSpaceDN w:val="0"/>
        <w:adjustRightInd w:val="0"/>
        <w:spacing w:line="360" w:lineRule="auto"/>
        <w:jc w:val="center"/>
        <w:rPr>
          <w:rFonts w:ascii="宋体" w:cs="宋体"/>
          <w:b/>
          <w:color w:val="auto"/>
          <w:kern w:val="0"/>
          <w:sz w:val="84"/>
          <w:szCs w:val="84"/>
        </w:rPr>
      </w:pPr>
      <w:r>
        <w:rPr>
          <w:rFonts w:hint="eastAsia" w:ascii="宋体" w:cs="宋体"/>
          <w:b/>
          <w:color w:val="auto"/>
          <w:kern w:val="0"/>
          <w:sz w:val="84"/>
          <w:szCs w:val="84"/>
        </w:rPr>
        <w:t>竞争性磋商文件</w:t>
      </w:r>
    </w:p>
    <w:p>
      <w:pPr>
        <w:autoSpaceDE w:val="0"/>
        <w:autoSpaceDN w:val="0"/>
        <w:adjustRightInd w:val="0"/>
        <w:spacing w:line="360" w:lineRule="auto"/>
        <w:jc w:val="center"/>
        <w:rPr>
          <w:rFonts w:ascii="宋体" w:cs="宋体"/>
          <w:b/>
          <w:color w:val="auto"/>
          <w:kern w:val="0"/>
          <w:sz w:val="48"/>
          <w:szCs w:val="48"/>
        </w:rPr>
      </w:pPr>
    </w:p>
    <w:p>
      <w:pPr>
        <w:spacing w:line="360" w:lineRule="auto"/>
        <w:jc w:val="center"/>
        <w:rPr>
          <w:rFonts w:ascii="宋体" w:hAnsi="宋体"/>
          <w:b/>
          <w:bCs/>
          <w:color w:val="auto"/>
          <w:kern w:val="44"/>
          <w:sz w:val="44"/>
          <w:szCs w:val="44"/>
        </w:rPr>
      </w:pPr>
    </w:p>
    <w:p>
      <w:pPr>
        <w:spacing w:line="360" w:lineRule="auto"/>
        <w:rPr>
          <w:rFonts w:ascii="宋体" w:cs="宋体"/>
          <w:b/>
          <w:color w:val="auto"/>
          <w:kern w:val="0"/>
          <w:sz w:val="44"/>
          <w:szCs w:val="44"/>
        </w:rPr>
      </w:pPr>
    </w:p>
    <w:p>
      <w:pPr>
        <w:spacing w:line="360" w:lineRule="auto"/>
        <w:ind w:left="1050" w:leftChars="500"/>
        <w:jc w:val="left"/>
        <w:rPr>
          <w:rFonts w:ascii="宋体" w:cs="宋体"/>
          <w:b/>
          <w:color w:val="auto"/>
          <w:kern w:val="0"/>
          <w:sz w:val="32"/>
          <w:szCs w:val="32"/>
        </w:rPr>
      </w:pPr>
      <w:r>
        <w:rPr>
          <w:rFonts w:hint="eastAsia" w:ascii="宋体" w:cs="宋体"/>
          <w:b/>
          <w:color w:val="auto"/>
          <w:kern w:val="0"/>
          <w:sz w:val="32"/>
          <w:szCs w:val="32"/>
        </w:rPr>
        <w:t>采购 人：</w:t>
      </w:r>
      <w:r>
        <w:rPr>
          <w:rFonts w:hint="eastAsia" w:ascii="宋体" w:hAnsi="宋体"/>
          <w:b/>
          <w:color w:val="auto"/>
          <w:sz w:val="32"/>
          <w:szCs w:val="32"/>
        </w:rPr>
        <w:t>高明区人民医院</w:t>
      </w:r>
    </w:p>
    <w:p>
      <w:pPr>
        <w:autoSpaceDE w:val="0"/>
        <w:autoSpaceDN w:val="0"/>
        <w:adjustRightInd w:val="0"/>
        <w:spacing w:line="360" w:lineRule="auto"/>
        <w:ind w:left="1050" w:leftChars="500"/>
        <w:jc w:val="left"/>
        <w:rPr>
          <w:rFonts w:ascii="宋体" w:cs="宋体"/>
          <w:b/>
          <w:color w:val="auto"/>
          <w:kern w:val="0"/>
          <w:sz w:val="32"/>
          <w:szCs w:val="32"/>
        </w:rPr>
      </w:pPr>
      <w:r>
        <w:rPr>
          <w:rFonts w:hint="eastAsia" w:ascii="宋体" w:cs="宋体"/>
          <w:b/>
          <w:color w:val="auto"/>
          <w:kern w:val="0"/>
          <w:sz w:val="32"/>
          <w:szCs w:val="32"/>
        </w:rPr>
        <w:t>采购代理机构：</w:t>
      </w:r>
      <w:r>
        <w:rPr>
          <w:rFonts w:hint="eastAsia" w:ascii="宋体" w:hAnsi="宋体"/>
          <w:b/>
          <w:color w:val="auto"/>
          <w:sz w:val="32"/>
          <w:szCs w:val="32"/>
        </w:rPr>
        <w:t>广东熙泽企业管理有限公司</w:t>
      </w:r>
    </w:p>
    <w:p>
      <w:pPr>
        <w:autoSpaceDE w:val="0"/>
        <w:autoSpaceDN w:val="0"/>
        <w:adjustRightInd w:val="0"/>
        <w:spacing w:line="360" w:lineRule="auto"/>
        <w:jc w:val="center"/>
        <w:rPr>
          <w:rFonts w:ascii="宋体" w:cs="宋体"/>
          <w:b/>
          <w:color w:val="auto"/>
          <w:kern w:val="0"/>
          <w:sz w:val="44"/>
          <w:szCs w:val="44"/>
        </w:rPr>
      </w:pPr>
    </w:p>
    <w:p>
      <w:pPr>
        <w:pStyle w:val="2"/>
        <w:rPr>
          <w:rFonts w:ascii="宋体" w:cs="宋体"/>
          <w:b/>
          <w:color w:val="auto"/>
          <w:kern w:val="0"/>
          <w:sz w:val="44"/>
          <w:szCs w:val="44"/>
        </w:rPr>
      </w:pPr>
    </w:p>
    <w:p>
      <w:pPr>
        <w:pStyle w:val="39"/>
        <w:rPr>
          <w:color w:val="auto"/>
          <w:sz w:val="28"/>
          <w:szCs w:val="21"/>
        </w:rPr>
      </w:pPr>
    </w:p>
    <w:p>
      <w:pPr>
        <w:autoSpaceDE w:val="0"/>
        <w:autoSpaceDN w:val="0"/>
        <w:adjustRightInd w:val="0"/>
        <w:spacing w:line="360" w:lineRule="auto"/>
        <w:jc w:val="center"/>
        <w:rPr>
          <w:rFonts w:ascii="宋体" w:cs="宋体"/>
          <w:b/>
          <w:color w:val="auto"/>
          <w:kern w:val="0"/>
          <w:sz w:val="32"/>
          <w:szCs w:val="32"/>
        </w:rPr>
      </w:pPr>
      <w:r>
        <w:rPr>
          <w:rFonts w:hint="eastAsia" w:ascii="宋体" w:cs="宋体"/>
          <w:b/>
          <w:color w:val="auto"/>
          <w:kern w:val="0"/>
          <w:sz w:val="32"/>
          <w:szCs w:val="32"/>
        </w:rPr>
        <w:t>2020年4月</w:t>
      </w:r>
    </w:p>
    <w:p>
      <w:pPr>
        <w:spacing w:beforeLines="50" w:afterLines="50" w:line="360" w:lineRule="auto"/>
        <w:jc w:val="center"/>
        <w:rPr>
          <w:rFonts w:ascii="宋体" w:hAnsi="宋体"/>
          <w:b/>
          <w:color w:val="auto"/>
          <w:sz w:val="36"/>
        </w:rPr>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850" w:footer="964" w:gutter="0"/>
          <w:cols w:space="0" w:num="1"/>
          <w:titlePg/>
          <w:docGrid w:type="lines" w:linePitch="315" w:charSpace="0"/>
        </w:sectPr>
      </w:pPr>
    </w:p>
    <w:p>
      <w:pPr>
        <w:spacing w:beforeLines="50" w:afterLines="50" w:line="360" w:lineRule="auto"/>
        <w:jc w:val="center"/>
        <w:rPr>
          <w:rFonts w:ascii="宋体" w:hAnsi="宋体"/>
          <w:b/>
          <w:color w:val="auto"/>
          <w:sz w:val="36"/>
        </w:rPr>
      </w:pPr>
      <w:r>
        <w:rPr>
          <w:rFonts w:hint="eastAsia" w:ascii="宋体" w:hAnsi="宋体"/>
          <w:b/>
          <w:color w:val="auto"/>
          <w:sz w:val="36"/>
        </w:rPr>
        <w:t>温馨提示：供应商特别注意事项</w:t>
      </w:r>
    </w:p>
    <w:p>
      <w:pPr>
        <w:spacing w:line="460" w:lineRule="exact"/>
        <w:ind w:left="422" w:hanging="422" w:hangingChars="200"/>
        <w:rPr>
          <w:rFonts w:ascii="宋体" w:hAnsi="宋体"/>
          <w:color w:val="auto"/>
        </w:rPr>
      </w:pPr>
      <w:r>
        <w:rPr>
          <w:rFonts w:hint="eastAsia" w:ascii="宋体" w:hAnsi="宋体"/>
          <w:b/>
          <w:color w:val="auto"/>
        </w:rPr>
        <w:t>一、</w:t>
      </w:r>
      <w:r>
        <w:rPr>
          <w:rFonts w:hint="eastAsia" w:ascii="宋体" w:hAnsi="宋体"/>
          <w:color w:val="auto"/>
        </w:rPr>
        <w:t>请供应商特别留意磋商文件上注明的首次响应文件提交截止时间，逾期送达或邮寄送达的响应文件我司恕不接收。因此，请供应商适当提前到达会议室。</w:t>
      </w:r>
      <w:r>
        <w:rPr>
          <w:rFonts w:hint="eastAsia" w:ascii="宋体" w:hAnsi="宋体"/>
          <w:b/>
          <w:color w:val="auto"/>
          <w:szCs w:val="21"/>
        </w:rPr>
        <w:t>提交首次响应文件开始时间为响应文件提交截止时间前半小时。</w:t>
      </w:r>
    </w:p>
    <w:p>
      <w:pPr>
        <w:spacing w:line="460" w:lineRule="exact"/>
        <w:ind w:left="422" w:hanging="422" w:hangingChars="200"/>
        <w:rPr>
          <w:rFonts w:ascii="宋体" w:hAnsi="宋体"/>
          <w:color w:val="auto"/>
          <w:szCs w:val="21"/>
        </w:rPr>
      </w:pPr>
      <w:r>
        <w:rPr>
          <w:rFonts w:hint="eastAsia" w:ascii="宋体" w:hAnsi="宋体"/>
          <w:b/>
          <w:color w:val="auto"/>
        </w:rPr>
        <w:t>二、</w:t>
      </w:r>
      <w:r>
        <w:rPr>
          <w:color w:val="auto"/>
        </w:rPr>
        <w:t>磋商保证金用于保护本次</w:t>
      </w:r>
      <w:r>
        <w:rPr>
          <w:rFonts w:hint="eastAsia"/>
          <w:color w:val="auto"/>
        </w:rPr>
        <w:t>磋商</w:t>
      </w:r>
      <w:r>
        <w:rPr>
          <w:color w:val="auto"/>
        </w:rPr>
        <w:t>免受</w:t>
      </w:r>
      <w:r>
        <w:rPr>
          <w:rFonts w:hint="eastAsia"/>
          <w:color w:val="auto"/>
        </w:rPr>
        <w:t>供应商</w:t>
      </w:r>
      <w:r>
        <w:rPr>
          <w:color w:val="auto"/>
        </w:rPr>
        <w:t>的行为而引起的风险，为本次</w:t>
      </w:r>
      <w:r>
        <w:rPr>
          <w:rFonts w:hint="eastAsia"/>
          <w:color w:val="auto"/>
        </w:rPr>
        <w:t>磋商</w:t>
      </w:r>
      <w:r>
        <w:rPr>
          <w:color w:val="auto"/>
        </w:rPr>
        <w:t>的必要组成部分，建议</w:t>
      </w:r>
      <w:r>
        <w:rPr>
          <w:rFonts w:hint="eastAsia"/>
          <w:color w:val="auto"/>
        </w:rPr>
        <w:t>供应商</w:t>
      </w:r>
      <w:r>
        <w:rPr>
          <w:color w:val="auto"/>
        </w:rPr>
        <w:t>仔细阅读</w:t>
      </w:r>
      <w:r>
        <w:rPr>
          <w:rFonts w:hint="eastAsia"/>
          <w:color w:val="auto"/>
        </w:rPr>
        <w:t>磋商文件</w:t>
      </w:r>
      <w:r>
        <w:rPr>
          <w:color w:val="auto"/>
        </w:rPr>
        <w:t>中关于磋商保证金的描述</w:t>
      </w:r>
      <w:r>
        <w:rPr>
          <w:rFonts w:hint="eastAsia"/>
          <w:color w:val="auto"/>
        </w:rPr>
        <w:t>。以银行转账方式交纳磋商保证金的，</w:t>
      </w:r>
      <w:r>
        <w:rPr>
          <w:rFonts w:hint="eastAsia" w:ascii="宋体" w:hAnsi="宋体"/>
          <w:color w:val="auto"/>
          <w:szCs w:val="21"/>
        </w:rPr>
        <w:t>以到账时间为准。</w:t>
      </w:r>
      <w:r>
        <w:rPr>
          <w:rFonts w:hint="eastAsia" w:ascii="宋体" w:hAnsi="宋体"/>
          <w:color w:val="auto"/>
        </w:rPr>
        <w:t>因转账当天不一定能够达账，为避免因磋商保证金未达账而导致响应文件被拒绝，建议提前转账。</w:t>
      </w:r>
      <w:r>
        <w:rPr>
          <w:rFonts w:hint="eastAsia" w:ascii="宋体" w:hAnsi="宋体"/>
          <w:color w:val="auto"/>
          <w:szCs w:val="21"/>
        </w:rPr>
        <w:t>以银行保函或《政府采购磋商担保函》形式交纳磋商保证金的，《银行保函》或《政府采购磋商担保函》复印件（加盖公章）放入响应文件的商务部分中，原件放入“保证金”信封中。</w:t>
      </w:r>
    </w:p>
    <w:p>
      <w:pPr>
        <w:autoSpaceDE w:val="0"/>
        <w:autoSpaceDN w:val="0"/>
        <w:adjustRightInd w:val="0"/>
        <w:spacing w:line="460" w:lineRule="exact"/>
        <w:ind w:left="708" w:hanging="708" w:hangingChars="336"/>
        <w:jc w:val="left"/>
        <w:rPr>
          <w:rFonts w:ascii="宋体" w:hAnsi="宋体"/>
          <w:color w:val="auto"/>
        </w:rPr>
      </w:pPr>
      <w:r>
        <w:rPr>
          <w:rFonts w:hint="eastAsia" w:ascii="宋体" w:hAnsi="宋体"/>
          <w:b/>
          <w:color w:val="auto"/>
        </w:rPr>
        <w:t>三、</w:t>
      </w:r>
      <w:r>
        <w:rPr>
          <w:rFonts w:hint="eastAsia" w:ascii="宋体" w:hAnsi="宋体"/>
          <w:color w:val="auto"/>
          <w:szCs w:val="21"/>
        </w:rPr>
        <w:t>报名资料参与正式磋商时须放入响应文件中。</w:t>
      </w:r>
    </w:p>
    <w:p>
      <w:pPr>
        <w:spacing w:line="460" w:lineRule="exact"/>
        <w:ind w:left="422" w:hanging="422" w:hangingChars="200"/>
        <w:rPr>
          <w:rFonts w:ascii="宋体" w:hAnsi="宋体"/>
          <w:color w:val="auto"/>
        </w:rPr>
      </w:pPr>
      <w:r>
        <w:rPr>
          <w:rFonts w:hint="eastAsia" w:ascii="宋体" w:hAnsi="宋体"/>
          <w:b/>
          <w:color w:val="auto"/>
        </w:rPr>
        <w:t>四、</w:t>
      </w:r>
      <w:r>
        <w:rPr>
          <w:rFonts w:hint="eastAsia" w:ascii="宋体" w:hAnsi="宋体"/>
          <w:color w:val="auto"/>
        </w:rPr>
        <w:t>请正确填写《首次报价一览表》，如含有包组的磋商项目需分开报价，报价要求详见磋商文件《首次报价一览表》。</w:t>
      </w:r>
    </w:p>
    <w:p>
      <w:pPr>
        <w:spacing w:line="460" w:lineRule="exact"/>
        <w:ind w:left="422" w:hanging="422" w:hangingChars="200"/>
        <w:rPr>
          <w:rFonts w:ascii="宋体" w:hAnsi="宋体"/>
          <w:color w:val="auto"/>
        </w:rPr>
      </w:pPr>
      <w:r>
        <w:rPr>
          <w:rFonts w:hint="eastAsia" w:ascii="宋体" w:hAnsi="宋体"/>
          <w:b/>
          <w:color w:val="auto"/>
        </w:rPr>
        <w:t>五、</w:t>
      </w:r>
      <w:r>
        <w:rPr>
          <w:rFonts w:hint="eastAsia" w:ascii="宋体" w:hAnsi="宋体"/>
          <w:color w:val="auto"/>
        </w:rPr>
        <w:t>请仔细检查《报价函》、《首次报价一览表》、</w:t>
      </w:r>
      <w:r>
        <w:rPr>
          <w:rFonts w:hint="eastAsia" w:ascii="宋体" w:hAnsi="宋体"/>
          <w:color w:val="auto"/>
          <w:szCs w:val="21"/>
        </w:rPr>
        <w:t>《法定代表人证明书》或</w:t>
      </w:r>
      <w:r>
        <w:rPr>
          <w:rFonts w:hint="eastAsia" w:ascii="宋体" w:hAnsi="宋体"/>
          <w:color w:val="auto"/>
        </w:rPr>
        <w:t>《法定代表人授权书》等重要格式文件是否有按要求盖公章或签名。</w:t>
      </w:r>
    </w:p>
    <w:p>
      <w:pPr>
        <w:spacing w:line="460" w:lineRule="exact"/>
        <w:ind w:left="708" w:hanging="708" w:hangingChars="336"/>
        <w:rPr>
          <w:rFonts w:ascii="宋体" w:hAnsi="宋体"/>
          <w:color w:val="auto"/>
        </w:rPr>
      </w:pPr>
      <w:r>
        <w:rPr>
          <w:rFonts w:hint="eastAsia" w:ascii="宋体" w:hAnsi="宋体"/>
          <w:b/>
          <w:color w:val="auto"/>
        </w:rPr>
        <w:t>七、</w:t>
      </w:r>
      <w:r>
        <w:rPr>
          <w:rFonts w:hint="eastAsia" w:ascii="宋体" w:hAnsi="宋体"/>
          <w:color w:val="auto"/>
        </w:rPr>
        <w:t>建议将响应文件按目录格式顺序编制页码。</w:t>
      </w:r>
    </w:p>
    <w:p>
      <w:pPr>
        <w:spacing w:line="460" w:lineRule="exact"/>
        <w:ind w:left="422" w:hanging="422" w:hangingChars="200"/>
        <w:rPr>
          <w:rFonts w:ascii="宋体" w:hAnsi="宋体"/>
          <w:color w:val="auto"/>
        </w:rPr>
      </w:pPr>
      <w:r>
        <w:rPr>
          <w:rFonts w:hint="eastAsia"/>
          <w:b/>
          <w:color w:val="auto"/>
        </w:rPr>
        <w:t>八</w:t>
      </w:r>
      <w:r>
        <w:rPr>
          <w:rFonts w:hint="eastAsia" w:ascii="宋体" w:hAnsi="宋体"/>
          <w:b/>
          <w:color w:val="auto"/>
        </w:rPr>
        <w:t>、</w:t>
      </w:r>
      <w:r>
        <w:rPr>
          <w:rFonts w:hint="eastAsia" w:ascii="宋体" w:hAnsi="宋体"/>
          <w:color w:val="auto"/>
        </w:rPr>
        <w:t>分公司参与磋商的，</w:t>
      </w:r>
      <w:r>
        <w:rPr>
          <w:rFonts w:hint="eastAsia" w:ascii="宋体" w:hAnsi="宋体"/>
          <w:color w:val="auto"/>
          <w:szCs w:val="21"/>
        </w:rPr>
        <w:t>需提供具有法人资格的总公司的营业执照副本复印件及授权书。</w:t>
      </w:r>
      <w:r>
        <w:rPr>
          <w:rFonts w:hint="eastAsia" w:ascii="宋体" w:hAnsi="宋体"/>
          <w:color w:val="auto"/>
        </w:rPr>
        <w:t>总公司可就本项目或此类项目在一定范围或时间内出具唯一的授权书。</w:t>
      </w:r>
    </w:p>
    <w:p>
      <w:pPr>
        <w:spacing w:line="460" w:lineRule="exact"/>
        <w:ind w:left="422" w:hanging="422" w:hangingChars="200"/>
        <w:jc w:val="left"/>
        <w:rPr>
          <w:rFonts w:ascii="宋体" w:hAnsi="宋体"/>
          <w:color w:val="auto"/>
        </w:rPr>
      </w:pPr>
      <w:r>
        <w:rPr>
          <w:rFonts w:hint="eastAsia" w:ascii="宋体" w:hAnsi="宋体"/>
          <w:b/>
          <w:color w:val="auto"/>
        </w:rPr>
        <w:t>九</w:t>
      </w:r>
      <w:r>
        <w:rPr>
          <w:rFonts w:hint="eastAsia"/>
          <w:b/>
          <w:color w:val="auto"/>
        </w:rPr>
        <w:t>、供应商请注意区分磋商保证金及招标代理服务费收款账号的区别</w:t>
      </w:r>
      <w:r>
        <w:rPr>
          <w:rFonts w:hint="eastAsia"/>
          <w:color w:val="auto"/>
        </w:rPr>
        <w:t>，务必将保证金按磋商文件的要求存入指定的保证金专用账户，招标代理服务费存入中标通知书中指定的服务费账户。切勿将款项转错账户，以免影响保证金</w:t>
      </w:r>
      <w:r>
        <w:rPr>
          <w:rFonts w:hint="eastAsia" w:ascii="宋体" w:hAnsi="宋体"/>
          <w:color w:val="auto"/>
          <w:szCs w:val="21"/>
        </w:rPr>
        <w:t>缴纳、</w:t>
      </w:r>
      <w:r>
        <w:rPr>
          <w:rFonts w:hint="eastAsia"/>
          <w:color w:val="auto"/>
        </w:rPr>
        <w:t>退还的</w:t>
      </w:r>
      <w:r>
        <w:rPr>
          <w:rFonts w:hint="eastAsia" w:ascii="宋体" w:hAnsi="宋体"/>
          <w:color w:val="auto"/>
          <w:szCs w:val="21"/>
        </w:rPr>
        <w:t>时效</w:t>
      </w:r>
      <w:r>
        <w:rPr>
          <w:rFonts w:hint="eastAsia"/>
          <w:color w:val="auto"/>
        </w:rPr>
        <w:t>。</w:t>
      </w:r>
    </w:p>
    <w:p>
      <w:pPr>
        <w:spacing w:line="460" w:lineRule="exact"/>
        <w:ind w:left="422" w:hanging="422" w:hangingChars="200"/>
        <w:rPr>
          <w:rFonts w:ascii="宋体" w:hAnsi="宋体"/>
          <w:color w:val="auto"/>
        </w:rPr>
      </w:pPr>
      <w:r>
        <w:rPr>
          <w:rFonts w:hint="eastAsia" w:ascii="宋体" w:hAnsi="宋体"/>
          <w:b/>
          <w:color w:val="auto"/>
        </w:rPr>
        <w:t>十、</w:t>
      </w:r>
      <w:r>
        <w:rPr>
          <w:rFonts w:hint="eastAsia" w:ascii="宋体" w:hAnsi="宋体"/>
          <w:color w:val="auto"/>
        </w:rPr>
        <w:t>我司为采购代理机构，不对供应商购买磋商文件时提交的相关资料的真伪做出判断，如供应商发现相关资料被盗用或复制，建议遵循法律途径解决，追究侵权者责任。对一家供应商提交两份不同磋商响应方案的，磋商小组将按磋商文件中有关</w:t>
      </w:r>
      <w:r>
        <w:rPr>
          <w:rFonts w:hint="eastAsia" w:ascii="宋体" w:hAnsi="宋体" w:cs="宋体"/>
          <w:color w:val="auto"/>
          <w:shd w:val="clear" w:color="auto" w:fill="FFFFFF"/>
        </w:rPr>
        <w:t>响应文件无效的规定</w:t>
      </w:r>
      <w:r>
        <w:rPr>
          <w:rFonts w:hint="eastAsia" w:ascii="宋体" w:hAnsi="宋体"/>
          <w:color w:val="auto"/>
        </w:rPr>
        <w:t>处理</w:t>
      </w:r>
      <w:r>
        <w:rPr>
          <w:rFonts w:hint="eastAsia" w:ascii="宋体" w:hAnsi="宋体"/>
          <w:color w:val="auto"/>
          <w:szCs w:val="21"/>
        </w:rPr>
        <w:t>（如有特殊要求的除外）</w:t>
      </w:r>
      <w:r>
        <w:rPr>
          <w:rFonts w:hint="eastAsia" w:ascii="宋体" w:hAnsi="宋体"/>
          <w:color w:val="auto"/>
        </w:rPr>
        <w:t>。</w:t>
      </w:r>
    </w:p>
    <w:p>
      <w:pPr>
        <w:tabs>
          <w:tab w:val="left" w:pos="567"/>
        </w:tabs>
        <w:spacing w:line="460" w:lineRule="exact"/>
        <w:ind w:left="708" w:hanging="708" w:hangingChars="336"/>
        <w:rPr>
          <w:rFonts w:ascii="宋体" w:hAnsi="宋体"/>
          <w:b/>
          <w:color w:val="auto"/>
          <w:sz w:val="28"/>
        </w:rPr>
      </w:pPr>
      <w:r>
        <w:rPr>
          <w:rFonts w:hint="eastAsia" w:ascii="宋体" w:hAnsi="宋体" w:cs="仿宋_GB2312"/>
          <w:b/>
          <w:bCs/>
          <w:color w:val="auto"/>
          <w:lang w:val="zh-CN"/>
        </w:rPr>
        <w:t>（本提示内容非磋商文件的组成部分，仅为善意提醒。如有不一致，以磋商文件为准。）</w:t>
      </w:r>
    </w:p>
    <w:p>
      <w:pPr>
        <w:spacing w:before="120" w:after="120" w:line="360" w:lineRule="auto"/>
        <w:ind w:firstLine="562" w:firstLineChars="200"/>
        <w:jc w:val="center"/>
        <w:rPr>
          <w:rFonts w:ascii="宋体" w:hAnsi="宋体"/>
          <w:color w:val="auto"/>
          <w:szCs w:val="21"/>
        </w:rPr>
      </w:pPr>
      <w:r>
        <w:rPr>
          <w:rFonts w:ascii="宋体" w:hAnsi="宋体"/>
          <w:b/>
          <w:color w:val="auto"/>
          <w:sz w:val="28"/>
        </w:rPr>
        <w:br w:type="page"/>
      </w:r>
      <w:r>
        <w:rPr>
          <w:rFonts w:hint="eastAsia" w:ascii="宋体" w:hAnsi="宋体"/>
          <w:b/>
          <w:color w:val="auto"/>
          <w:sz w:val="28"/>
        </w:rPr>
        <w:t>目   录</w:t>
      </w:r>
      <w:r>
        <w:rPr>
          <w:color w:val="auto"/>
          <w:szCs w:val="21"/>
        </w:rPr>
        <w:fldChar w:fldCharType="begin"/>
      </w:r>
      <w:r>
        <w:rPr>
          <w:color w:val="auto"/>
          <w:szCs w:val="21"/>
        </w:rPr>
        <w:instrText xml:space="preserve">TOC \o "1-2" \h \u </w:instrText>
      </w:r>
      <w:r>
        <w:rPr>
          <w:color w:val="auto"/>
          <w:szCs w:val="21"/>
        </w:rPr>
        <w:fldChar w:fldCharType="separate"/>
      </w:r>
    </w:p>
    <w:p>
      <w:pPr>
        <w:pStyle w:val="24"/>
        <w:tabs>
          <w:tab w:val="right" w:leader="dot" w:pos="9638"/>
          <w:tab w:val="clear" w:pos="9180"/>
        </w:tabs>
        <w:rPr>
          <w:color w:val="auto"/>
        </w:rPr>
      </w:pPr>
      <w:r>
        <w:rPr>
          <w:color w:val="auto"/>
        </w:rPr>
        <w:fldChar w:fldCharType="begin"/>
      </w:r>
      <w:r>
        <w:rPr>
          <w:color w:val="auto"/>
        </w:rPr>
        <w:instrText xml:space="preserve"> HYPERLINK \l "_Toc16724" </w:instrText>
      </w:r>
      <w:r>
        <w:rPr>
          <w:color w:val="auto"/>
        </w:rPr>
        <w:fldChar w:fldCharType="separate"/>
      </w:r>
      <w:r>
        <w:rPr>
          <w:rFonts w:hint="eastAsia"/>
          <w:color w:val="auto"/>
          <w:szCs w:val="28"/>
        </w:rPr>
        <w:t>第一章 磋商邀请</w:t>
      </w:r>
      <w:r>
        <w:rPr>
          <w:color w:val="auto"/>
        </w:rPr>
        <w:tab/>
      </w:r>
      <w:r>
        <w:rPr>
          <w:color w:val="auto"/>
        </w:rPr>
        <w:fldChar w:fldCharType="begin"/>
      </w:r>
      <w:r>
        <w:rPr>
          <w:color w:val="auto"/>
        </w:rPr>
        <w:instrText xml:space="preserve"> PAGEREF _Toc16724 </w:instrText>
      </w:r>
      <w:r>
        <w:rPr>
          <w:color w:val="auto"/>
        </w:rPr>
        <w:fldChar w:fldCharType="separate"/>
      </w:r>
      <w:r>
        <w:rPr>
          <w:color w:val="auto"/>
        </w:rPr>
        <w:t>4</w:t>
      </w:r>
      <w:r>
        <w:rPr>
          <w:color w:val="auto"/>
        </w:rPr>
        <w:fldChar w:fldCharType="end"/>
      </w:r>
      <w:r>
        <w:rPr>
          <w:color w:val="auto"/>
        </w:rPr>
        <w:fldChar w:fldCharType="end"/>
      </w:r>
    </w:p>
    <w:p>
      <w:pPr>
        <w:pStyle w:val="24"/>
        <w:tabs>
          <w:tab w:val="right" w:leader="dot" w:pos="9638"/>
          <w:tab w:val="clear" w:pos="9180"/>
        </w:tabs>
        <w:rPr>
          <w:color w:val="auto"/>
        </w:rPr>
      </w:pPr>
      <w:r>
        <w:rPr>
          <w:color w:val="auto"/>
        </w:rPr>
        <w:fldChar w:fldCharType="begin"/>
      </w:r>
      <w:r>
        <w:rPr>
          <w:color w:val="auto"/>
        </w:rPr>
        <w:instrText xml:space="preserve"> HYPERLINK \l "_Toc2889" </w:instrText>
      </w:r>
      <w:r>
        <w:rPr>
          <w:color w:val="auto"/>
        </w:rPr>
        <w:fldChar w:fldCharType="separate"/>
      </w:r>
      <w:r>
        <w:rPr>
          <w:rFonts w:hint="eastAsia"/>
          <w:color w:val="auto"/>
          <w:szCs w:val="28"/>
        </w:rPr>
        <w:t>第二章 磋商须知</w:t>
      </w:r>
      <w:r>
        <w:rPr>
          <w:color w:val="auto"/>
        </w:rPr>
        <w:tab/>
      </w:r>
      <w:r>
        <w:rPr>
          <w:color w:val="auto"/>
        </w:rPr>
        <w:fldChar w:fldCharType="begin"/>
      </w:r>
      <w:r>
        <w:rPr>
          <w:color w:val="auto"/>
        </w:rPr>
        <w:instrText xml:space="preserve"> PAGEREF _Toc2889 </w:instrText>
      </w:r>
      <w:r>
        <w:rPr>
          <w:color w:val="auto"/>
        </w:rPr>
        <w:fldChar w:fldCharType="separate"/>
      </w:r>
      <w:r>
        <w:rPr>
          <w:color w:val="auto"/>
        </w:rPr>
        <w:t>9</w:t>
      </w:r>
      <w:r>
        <w:rPr>
          <w:color w:val="auto"/>
        </w:rPr>
        <w:fldChar w:fldCharType="end"/>
      </w:r>
      <w:r>
        <w:rPr>
          <w:color w:val="auto"/>
        </w:rPr>
        <w:fldChar w:fldCharType="end"/>
      </w:r>
    </w:p>
    <w:p>
      <w:pPr>
        <w:pStyle w:val="24"/>
        <w:tabs>
          <w:tab w:val="right" w:leader="dot" w:pos="9638"/>
          <w:tab w:val="clear" w:pos="9180"/>
        </w:tabs>
        <w:rPr>
          <w:color w:val="auto"/>
        </w:rPr>
      </w:pPr>
      <w:r>
        <w:rPr>
          <w:color w:val="auto"/>
        </w:rPr>
        <w:fldChar w:fldCharType="begin"/>
      </w:r>
      <w:r>
        <w:rPr>
          <w:color w:val="auto"/>
        </w:rPr>
        <w:instrText xml:space="preserve"> HYPERLINK \l "_Toc7251" </w:instrText>
      </w:r>
      <w:r>
        <w:rPr>
          <w:color w:val="auto"/>
        </w:rPr>
        <w:fldChar w:fldCharType="separate"/>
      </w:r>
      <w:r>
        <w:rPr>
          <w:rFonts w:hint="eastAsia"/>
          <w:color w:val="auto"/>
        </w:rPr>
        <w:t>第三章 用户需求</w:t>
      </w:r>
      <w:r>
        <w:rPr>
          <w:color w:val="auto"/>
        </w:rPr>
        <w:tab/>
      </w:r>
      <w:r>
        <w:rPr>
          <w:color w:val="auto"/>
        </w:rPr>
        <w:fldChar w:fldCharType="begin"/>
      </w:r>
      <w:r>
        <w:rPr>
          <w:color w:val="auto"/>
        </w:rPr>
        <w:instrText xml:space="preserve"> PAGEREF _Toc7251 </w:instrText>
      </w:r>
      <w:r>
        <w:rPr>
          <w:color w:val="auto"/>
        </w:rPr>
        <w:fldChar w:fldCharType="separate"/>
      </w:r>
      <w:r>
        <w:rPr>
          <w:color w:val="auto"/>
        </w:rPr>
        <w:t>23</w:t>
      </w:r>
      <w:r>
        <w:rPr>
          <w:color w:val="auto"/>
        </w:rPr>
        <w:fldChar w:fldCharType="end"/>
      </w:r>
      <w:r>
        <w:rPr>
          <w:color w:val="auto"/>
        </w:rPr>
        <w:fldChar w:fldCharType="end"/>
      </w:r>
    </w:p>
    <w:p>
      <w:pPr>
        <w:pStyle w:val="24"/>
        <w:tabs>
          <w:tab w:val="right" w:leader="dot" w:pos="9638"/>
          <w:tab w:val="clear" w:pos="9180"/>
        </w:tabs>
        <w:rPr>
          <w:color w:val="auto"/>
        </w:rPr>
      </w:pPr>
      <w:r>
        <w:rPr>
          <w:color w:val="auto"/>
        </w:rPr>
        <w:fldChar w:fldCharType="begin"/>
      </w:r>
      <w:r>
        <w:rPr>
          <w:color w:val="auto"/>
        </w:rPr>
        <w:instrText xml:space="preserve"> HYPERLINK \l "_Toc28108" </w:instrText>
      </w:r>
      <w:r>
        <w:rPr>
          <w:color w:val="auto"/>
        </w:rPr>
        <w:fldChar w:fldCharType="separate"/>
      </w:r>
      <w:r>
        <w:rPr>
          <w:rFonts w:hint="eastAsia"/>
          <w:color w:val="auto"/>
        </w:rPr>
        <w:t>第四章 评审办法</w:t>
      </w:r>
      <w:r>
        <w:rPr>
          <w:color w:val="auto"/>
        </w:rPr>
        <w:tab/>
      </w:r>
      <w:r>
        <w:rPr>
          <w:color w:val="auto"/>
        </w:rPr>
        <w:fldChar w:fldCharType="begin"/>
      </w:r>
      <w:r>
        <w:rPr>
          <w:color w:val="auto"/>
        </w:rPr>
        <w:instrText xml:space="preserve"> PAGEREF _Toc28108 </w:instrText>
      </w:r>
      <w:r>
        <w:rPr>
          <w:color w:val="auto"/>
        </w:rPr>
        <w:fldChar w:fldCharType="separate"/>
      </w:r>
      <w:r>
        <w:rPr>
          <w:color w:val="auto"/>
        </w:rPr>
        <w:t>26</w:t>
      </w:r>
      <w:r>
        <w:rPr>
          <w:color w:val="auto"/>
        </w:rPr>
        <w:fldChar w:fldCharType="end"/>
      </w:r>
      <w:r>
        <w:rPr>
          <w:color w:val="auto"/>
        </w:rPr>
        <w:fldChar w:fldCharType="end"/>
      </w:r>
    </w:p>
    <w:p>
      <w:pPr>
        <w:pStyle w:val="24"/>
        <w:tabs>
          <w:tab w:val="right" w:leader="dot" w:pos="9638"/>
          <w:tab w:val="clear" w:pos="9180"/>
        </w:tabs>
        <w:rPr>
          <w:color w:val="auto"/>
        </w:rPr>
      </w:pPr>
      <w:r>
        <w:rPr>
          <w:color w:val="auto"/>
        </w:rPr>
        <w:fldChar w:fldCharType="begin"/>
      </w:r>
      <w:r>
        <w:rPr>
          <w:color w:val="auto"/>
        </w:rPr>
        <w:instrText xml:space="preserve"> HYPERLINK \l "_Toc25176" </w:instrText>
      </w:r>
      <w:r>
        <w:rPr>
          <w:color w:val="auto"/>
        </w:rPr>
        <w:fldChar w:fldCharType="separate"/>
      </w:r>
      <w:r>
        <w:rPr>
          <w:rFonts w:hint="eastAsia"/>
          <w:color w:val="auto"/>
        </w:rPr>
        <w:t>第五章 合同文本</w:t>
      </w:r>
      <w:r>
        <w:rPr>
          <w:color w:val="auto"/>
        </w:rPr>
        <w:tab/>
      </w:r>
      <w:r>
        <w:rPr>
          <w:color w:val="auto"/>
        </w:rPr>
        <w:fldChar w:fldCharType="begin"/>
      </w:r>
      <w:r>
        <w:rPr>
          <w:color w:val="auto"/>
        </w:rPr>
        <w:instrText xml:space="preserve"> PAGEREF _Toc25176 </w:instrText>
      </w:r>
      <w:r>
        <w:rPr>
          <w:color w:val="auto"/>
        </w:rPr>
        <w:fldChar w:fldCharType="separate"/>
      </w:r>
      <w:r>
        <w:rPr>
          <w:color w:val="auto"/>
        </w:rPr>
        <w:t>33</w:t>
      </w:r>
      <w:r>
        <w:rPr>
          <w:color w:val="auto"/>
        </w:rPr>
        <w:fldChar w:fldCharType="end"/>
      </w:r>
      <w:r>
        <w:rPr>
          <w:color w:val="auto"/>
        </w:rPr>
        <w:fldChar w:fldCharType="end"/>
      </w:r>
    </w:p>
    <w:p>
      <w:pPr>
        <w:pStyle w:val="24"/>
        <w:tabs>
          <w:tab w:val="right" w:leader="dot" w:pos="9638"/>
          <w:tab w:val="clear" w:pos="9180"/>
        </w:tabs>
        <w:rPr>
          <w:color w:val="auto"/>
        </w:rPr>
      </w:pPr>
      <w:r>
        <w:rPr>
          <w:color w:val="auto"/>
        </w:rPr>
        <w:fldChar w:fldCharType="begin"/>
      </w:r>
      <w:r>
        <w:rPr>
          <w:color w:val="auto"/>
        </w:rPr>
        <w:instrText xml:space="preserve"> HYPERLINK \l "_Toc15004" </w:instrText>
      </w:r>
      <w:r>
        <w:rPr>
          <w:color w:val="auto"/>
        </w:rPr>
        <w:fldChar w:fldCharType="separate"/>
      </w:r>
      <w:r>
        <w:rPr>
          <w:rFonts w:hint="eastAsia"/>
          <w:color w:val="auto"/>
          <w:kern w:val="44"/>
          <w:szCs w:val="20"/>
        </w:rPr>
        <w:t>第六章 响应文件格式</w:t>
      </w:r>
      <w:r>
        <w:rPr>
          <w:color w:val="auto"/>
        </w:rPr>
        <w:tab/>
      </w:r>
      <w:r>
        <w:rPr>
          <w:color w:val="auto"/>
        </w:rPr>
        <w:fldChar w:fldCharType="begin"/>
      </w:r>
      <w:r>
        <w:rPr>
          <w:color w:val="auto"/>
        </w:rPr>
        <w:instrText xml:space="preserve"> PAGEREF _Toc15004 </w:instrText>
      </w:r>
      <w:r>
        <w:rPr>
          <w:color w:val="auto"/>
        </w:rPr>
        <w:fldChar w:fldCharType="separate"/>
      </w:r>
      <w:r>
        <w:rPr>
          <w:color w:val="auto"/>
        </w:rPr>
        <w:t>37</w:t>
      </w:r>
      <w:r>
        <w:rPr>
          <w:color w:val="auto"/>
        </w:rPr>
        <w:fldChar w:fldCharType="end"/>
      </w:r>
      <w:r>
        <w:rPr>
          <w:color w:val="auto"/>
        </w:rPr>
        <w:fldChar w:fldCharType="end"/>
      </w:r>
    </w:p>
    <w:p>
      <w:pPr>
        <w:spacing w:before="120" w:after="120" w:line="450" w:lineRule="exact"/>
        <w:ind w:firstLine="420" w:firstLineChars="200"/>
        <w:jc w:val="center"/>
        <w:rPr>
          <w:rFonts w:ascii="宋体" w:hAnsi="宋体"/>
          <w:color w:val="auto"/>
          <w:szCs w:val="21"/>
        </w:rPr>
      </w:pPr>
      <w:r>
        <w:rPr>
          <w:rFonts w:ascii="宋体" w:hAnsi="宋体"/>
          <w:color w:val="auto"/>
          <w:szCs w:val="21"/>
        </w:rPr>
        <w:fldChar w:fldCharType="end"/>
      </w:r>
    </w:p>
    <w:p>
      <w:pPr>
        <w:numPr>
          <w:ilvl w:val="0"/>
          <w:numId w:val="1"/>
        </w:numPr>
        <w:spacing w:line="450" w:lineRule="exact"/>
        <w:jc w:val="center"/>
        <w:outlineLvl w:val="0"/>
        <w:rPr>
          <w:rStyle w:val="35"/>
          <w:rFonts w:cs="Arial"/>
          <w:b/>
          <w:bCs/>
          <w:color w:val="auto"/>
          <w:sz w:val="28"/>
          <w:szCs w:val="28"/>
          <w:u w:val="none"/>
        </w:rPr>
      </w:pPr>
      <w:r>
        <w:rPr>
          <w:rFonts w:ascii="宋体" w:hAnsi="宋体"/>
          <w:color w:val="auto"/>
          <w:szCs w:val="21"/>
        </w:rPr>
        <w:br w:type="page"/>
      </w:r>
      <w:bookmarkEnd w:id="0"/>
      <w:bookmarkStart w:id="1" w:name="_Toc16724"/>
      <w:bookmarkStart w:id="2" w:name="_Toc337541094"/>
      <w:bookmarkStart w:id="3" w:name="_Toc469663670"/>
      <w:bookmarkStart w:id="4" w:name="_Toc56911022"/>
      <w:bookmarkStart w:id="5" w:name="_Toc495977854"/>
      <w:bookmarkStart w:id="6" w:name="_Toc486847011"/>
      <w:r>
        <w:rPr>
          <w:rStyle w:val="35"/>
          <w:rFonts w:hint="eastAsia" w:cs="Arial"/>
          <w:b/>
          <w:bCs/>
          <w:color w:val="auto"/>
          <w:sz w:val="28"/>
          <w:szCs w:val="28"/>
          <w:u w:val="none"/>
        </w:rPr>
        <w:t>磋商邀请</w:t>
      </w:r>
      <w:bookmarkEnd w:id="1"/>
    </w:p>
    <w:p>
      <w:pPr>
        <w:pStyle w:val="4"/>
        <w:ind w:firstLine="4578" w:firstLineChars="1900"/>
        <w:rPr>
          <w:color w:val="auto"/>
        </w:rPr>
      </w:pPr>
      <w:bookmarkStart w:id="7" w:name="_Toc6027"/>
      <w:bookmarkStart w:id="8" w:name="_Toc10436"/>
      <w:r>
        <w:rPr>
          <w:rStyle w:val="35"/>
          <w:rFonts w:hint="eastAsia" w:cs="Arial"/>
          <w:bCs/>
          <w:color w:val="auto"/>
          <w:u w:val="none"/>
        </w:rPr>
        <w:t>磋商邀请函</w:t>
      </w:r>
      <w:bookmarkEnd w:id="7"/>
      <w:bookmarkEnd w:id="8"/>
    </w:p>
    <w:p>
      <w:pPr>
        <w:autoSpaceDE w:val="0"/>
        <w:autoSpaceDN w:val="0"/>
        <w:adjustRightInd w:val="0"/>
        <w:spacing w:line="360" w:lineRule="auto"/>
        <w:ind w:firstLine="420" w:firstLineChars="200"/>
        <w:jc w:val="left"/>
        <w:rPr>
          <w:rFonts w:ascii="宋体" w:hAnsi="宋体"/>
          <w:color w:val="auto"/>
          <w:szCs w:val="21"/>
        </w:rPr>
      </w:pPr>
      <w:r>
        <w:rPr>
          <w:rFonts w:hint="eastAsia" w:ascii="宋体" w:hAnsi="宋体"/>
          <w:color w:val="auto"/>
          <w:szCs w:val="21"/>
          <w:u w:val="single"/>
        </w:rPr>
        <w:t>广东熙泽企业管理有限公司</w:t>
      </w:r>
      <w:r>
        <w:rPr>
          <w:rFonts w:hint="eastAsia" w:ascii="宋体" w:hAnsi="宋体"/>
          <w:color w:val="auto"/>
          <w:szCs w:val="21"/>
        </w:rPr>
        <w:t>受</w:t>
      </w:r>
      <w:r>
        <w:rPr>
          <w:rFonts w:hint="eastAsia" w:ascii="宋体" w:hAnsi="宋体"/>
          <w:color w:val="auto"/>
          <w:szCs w:val="21"/>
          <w:u w:val="single"/>
        </w:rPr>
        <w:t>高明区人民医院</w:t>
      </w:r>
      <w:r>
        <w:rPr>
          <w:rFonts w:hint="eastAsia" w:ascii="宋体" w:cs="宋体"/>
          <w:bCs/>
          <w:color w:val="auto"/>
          <w:kern w:val="0"/>
          <w:szCs w:val="21"/>
        </w:rPr>
        <w:t>的</w:t>
      </w:r>
      <w:r>
        <w:rPr>
          <w:rFonts w:hint="eastAsia" w:ascii="宋体" w:hAnsi="宋体"/>
          <w:bCs/>
          <w:color w:val="auto"/>
          <w:szCs w:val="21"/>
        </w:rPr>
        <w:t>委</w:t>
      </w:r>
      <w:r>
        <w:rPr>
          <w:rFonts w:hint="eastAsia" w:ascii="宋体" w:hAnsi="宋体"/>
          <w:color w:val="auto"/>
          <w:szCs w:val="21"/>
        </w:rPr>
        <w:t>托，拟对</w:t>
      </w:r>
      <w:r>
        <w:rPr>
          <w:rFonts w:hint="eastAsia"/>
          <w:color w:val="auto"/>
          <w:u w:val="single"/>
        </w:rPr>
        <w:t>高明区人民医院被服洗涤服务项目</w:t>
      </w:r>
      <w:r>
        <w:rPr>
          <w:rFonts w:hint="eastAsia" w:ascii="宋体" w:hAnsi="宋体"/>
          <w:color w:val="auto"/>
          <w:szCs w:val="21"/>
        </w:rPr>
        <w:t>进行竞争性磋商，欢迎符合资格条件的供应商参加。本项目将优先确定符合相应资格条件的自主创新产品、节能产品、环保产品供应商参加磋商。</w:t>
      </w:r>
    </w:p>
    <w:p>
      <w:pPr>
        <w:numPr>
          <w:ilvl w:val="1"/>
          <w:numId w:val="2"/>
        </w:numPr>
        <w:tabs>
          <w:tab w:val="left" w:pos="360"/>
          <w:tab w:val="left" w:pos="862"/>
        </w:tabs>
        <w:spacing w:line="450" w:lineRule="exact"/>
        <w:ind w:left="748" w:hanging="567"/>
        <w:rPr>
          <w:rFonts w:ascii="宋体" w:hAnsi="宋体" w:cs="宋体"/>
          <w:b/>
          <w:color w:val="auto"/>
          <w:szCs w:val="21"/>
        </w:rPr>
      </w:pPr>
      <w:r>
        <w:rPr>
          <w:rFonts w:hint="eastAsia" w:ascii="宋体" w:hAnsi="宋体" w:cs="宋体"/>
          <w:b/>
          <w:color w:val="auto"/>
          <w:szCs w:val="21"/>
        </w:rPr>
        <w:t>采购项目编号：XZ20200401</w:t>
      </w:r>
    </w:p>
    <w:p>
      <w:pPr>
        <w:numPr>
          <w:ilvl w:val="1"/>
          <w:numId w:val="2"/>
        </w:numPr>
        <w:tabs>
          <w:tab w:val="left" w:pos="360"/>
          <w:tab w:val="left" w:pos="862"/>
        </w:tabs>
        <w:spacing w:line="450" w:lineRule="exact"/>
        <w:ind w:left="748" w:hanging="567"/>
        <w:rPr>
          <w:rFonts w:ascii="宋体" w:hAnsi="宋体" w:cs="宋体"/>
          <w:b/>
          <w:color w:val="auto"/>
          <w:szCs w:val="21"/>
        </w:rPr>
      </w:pPr>
      <w:r>
        <w:rPr>
          <w:rFonts w:hint="eastAsia" w:ascii="宋体" w:hAnsi="宋体" w:cs="宋体"/>
          <w:b/>
          <w:color w:val="auto"/>
          <w:szCs w:val="21"/>
        </w:rPr>
        <w:t>采购项目名称：高明区人民医院被服洗涤服务项目</w:t>
      </w:r>
    </w:p>
    <w:p>
      <w:pPr>
        <w:numPr>
          <w:ilvl w:val="1"/>
          <w:numId w:val="2"/>
        </w:numPr>
        <w:tabs>
          <w:tab w:val="left" w:pos="360"/>
          <w:tab w:val="left" w:pos="862"/>
        </w:tabs>
        <w:spacing w:line="450" w:lineRule="exact"/>
        <w:ind w:left="748" w:hanging="567"/>
        <w:rPr>
          <w:rFonts w:ascii="宋体" w:hAnsi="宋体" w:cs="宋体"/>
          <w:b/>
          <w:color w:val="auto"/>
          <w:szCs w:val="21"/>
        </w:rPr>
      </w:pPr>
      <w:r>
        <w:rPr>
          <w:rFonts w:hint="eastAsia" w:ascii="宋体" w:hAnsi="宋体" w:cs="宋体"/>
          <w:b/>
          <w:color w:val="auto"/>
          <w:szCs w:val="21"/>
        </w:rPr>
        <w:t>预算金额（元）：人民币2020000.00元</w:t>
      </w:r>
    </w:p>
    <w:p>
      <w:pPr>
        <w:numPr>
          <w:ilvl w:val="1"/>
          <w:numId w:val="2"/>
        </w:numPr>
        <w:tabs>
          <w:tab w:val="left" w:pos="360"/>
          <w:tab w:val="left" w:pos="862"/>
        </w:tabs>
        <w:spacing w:line="450" w:lineRule="exact"/>
        <w:ind w:left="748" w:hanging="567"/>
        <w:rPr>
          <w:rFonts w:ascii="宋体" w:hAnsi="宋体" w:cs="宋体"/>
          <w:b/>
          <w:color w:val="auto"/>
          <w:szCs w:val="21"/>
        </w:rPr>
      </w:pPr>
      <w:r>
        <w:rPr>
          <w:rFonts w:hint="eastAsia" w:ascii="宋体" w:hAnsi="宋体" w:cs="宋体"/>
          <w:b/>
          <w:color w:val="auto"/>
          <w:szCs w:val="21"/>
        </w:rPr>
        <w:t>采购数量：1项</w:t>
      </w:r>
    </w:p>
    <w:p>
      <w:pPr>
        <w:numPr>
          <w:ilvl w:val="1"/>
          <w:numId w:val="2"/>
        </w:numPr>
        <w:tabs>
          <w:tab w:val="left" w:pos="360"/>
          <w:tab w:val="left" w:pos="862"/>
        </w:tabs>
        <w:spacing w:line="450" w:lineRule="exact"/>
        <w:ind w:left="748" w:hanging="567"/>
        <w:rPr>
          <w:rFonts w:ascii="宋体" w:hAnsi="宋体" w:cs="宋体"/>
          <w:b/>
          <w:color w:val="auto"/>
          <w:szCs w:val="21"/>
        </w:rPr>
      </w:pPr>
      <w:r>
        <w:rPr>
          <w:rFonts w:hint="eastAsia" w:ascii="宋体" w:hAnsi="宋体" w:cs="宋体"/>
          <w:b/>
          <w:color w:val="auto"/>
          <w:szCs w:val="21"/>
        </w:rPr>
        <w:t>项目内容及需求：(采购项目技术规格、参数及要求，需要落实的政府采购政策)</w:t>
      </w:r>
    </w:p>
    <w:tbl>
      <w:tblPr>
        <w:tblStyle w:val="37"/>
        <w:tblW w:w="84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7"/>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5427"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50" w:lineRule="exact"/>
              <w:jc w:val="center"/>
              <w:rPr>
                <w:rFonts w:ascii="宋体" w:hAnsi="宋体" w:cs="宋体"/>
                <w:b/>
                <w:color w:val="auto"/>
                <w:szCs w:val="21"/>
              </w:rPr>
            </w:pPr>
            <w:r>
              <w:rPr>
                <w:rFonts w:hint="eastAsia" w:ascii="宋体" w:hAnsi="宋体" w:cs="宋体"/>
                <w:b/>
                <w:color w:val="auto"/>
                <w:szCs w:val="21"/>
              </w:rPr>
              <w:t>采购内容/用途</w:t>
            </w:r>
          </w:p>
        </w:tc>
        <w:tc>
          <w:tcPr>
            <w:tcW w:w="3046"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50" w:lineRule="exact"/>
              <w:jc w:val="center"/>
              <w:rPr>
                <w:rFonts w:ascii="宋体" w:hAnsi="宋体" w:cs="宋体"/>
                <w:b/>
                <w:color w:val="auto"/>
                <w:szCs w:val="21"/>
              </w:rPr>
            </w:pPr>
            <w:r>
              <w:rPr>
                <w:rFonts w:hint="eastAsia" w:ascii="宋体" w:hAnsi="宋体" w:cs="宋体"/>
                <w:b/>
                <w:color w:val="auto"/>
                <w:szCs w:val="21"/>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5427"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50" w:lineRule="exact"/>
              <w:jc w:val="center"/>
              <w:rPr>
                <w:rFonts w:ascii="宋体" w:hAnsi="宋体" w:cs="宋体"/>
                <w:color w:val="auto"/>
                <w:szCs w:val="21"/>
              </w:rPr>
            </w:pPr>
            <w:r>
              <w:rPr>
                <w:rFonts w:hint="eastAsia"/>
                <w:color w:val="auto"/>
              </w:rPr>
              <w:t>高明区人民医院被服洗涤服务项目</w:t>
            </w:r>
          </w:p>
        </w:tc>
        <w:tc>
          <w:tcPr>
            <w:tcW w:w="3046"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50" w:lineRule="exact"/>
              <w:jc w:val="center"/>
              <w:rPr>
                <w:color w:val="auto"/>
              </w:rPr>
            </w:pPr>
            <w:r>
              <w:rPr>
                <w:rFonts w:hint="eastAsia"/>
                <w:color w:val="auto"/>
              </w:rPr>
              <w:t>1年</w:t>
            </w:r>
          </w:p>
        </w:tc>
      </w:tr>
    </w:tbl>
    <w:p>
      <w:pPr>
        <w:tabs>
          <w:tab w:val="left" w:pos="360"/>
        </w:tabs>
        <w:spacing w:line="450" w:lineRule="exact"/>
        <w:rPr>
          <w:rFonts w:ascii="宋体" w:hAnsi="宋体" w:cs="宋体"/>
          <w:b/>
          <w:color w:val="auto"/>
          <w:szCs w:val="21"/>
        </w:rPr>
      </w:pPr>
      <w:bookmarkStart w:id="9" w:name="_Toc56911021"/>
      <w:r>
        <w:rPr>
          <w:rFonts w:hint="eastAsia" w:ascii="宋体" w:hAnsi="宋体" w:cs="宋体"/>
          <w:b/>
          <w:color w:val="auto"/>
          <w:szCs w:val="21"/>
        </w:rPr>
        <w:t>备注：</w:t>
      </w:r>
    </w:p>
    <w:p>
      <w:pPr>
        <w:tabs>
          <w:tab w:val="left" w:pos="360"/>
          <w:tab w:val="left" w:pos="720"/>
        </w:tabs>
        <w:spacing w:line="450" w:lineRule="exact"/>
        <w:ind w:left="748"/>
        <w:rPr>
          <w:rFonts w:ascii="宋体" w:hAnsi="宋体" w:cs="宋体"/>
          <w:color w:val="auto"/>
          <w:szCs w:val="21"/>
        </w:rPr>
      </w:pPr>
      <w:r>
        <w:rPr>
          <w:rFonts w:hint="eastAsia" w:ascii="宋体" w:hAnsi="宋体" w:cs="宋体"/>
          <w:color w:val="auto"/>
          <w:szCs w:val="21"/>
        </w:rPr>
        <w:t>1、采购项目的详细内容及技术参数、执行标准：详见“用户需求”部分。</w:t>
      </w:r>
    </w:p>
    <w:p>
      <w:pPr>
        <w:tabs>
          <w:tab w:val="left" w:pos="360"/>
          <w:tab w:val="left" w:pos="720"/>
        </w:tabs>
        <w:spacing w:line="450" w:lineRule="exact"/>
        <w:ind w:left="748"/>
        <w:rPr>
          <w:rFonts w:ascii="宋体" w:hAnsi="宋体" w:cs="宋体"/>
          <w:color w:val="auto"/>
          <w:szCs w:val="21"/>
        </w:rPr>
      </w:pPr>
      <w:r>
        <w:rPr>
          <w:rFonts w:hint="eastAsia" w:ascii="宋体" w:hAnsi="宋体" w:cs="宋体"/>
          <w:color w:val="auto"/>
          <w:szCs w:val="21"/>
        </w:rPr>
        <w:t>2、供应商必须对项目进行整体响应，不允许仅对其中部分内容进行响应。</w:t>
      </w:r>
    </w:p>
    <w:p>
      <w:pPr>
        <w:tabs>
          <w:tab w:val="left" w:pos="360"/>
        </w:tabs>
        <w:spacing w:line="450" w:lineRule="exact"/>
        <w:ind w:left="748"/>
        <w:rPr>
          <w:rFonts w:ascii="宋体" w:hAnsi="宋体" w:cs="宋体"/>
          <w:color w:val="auto"/>
          <w:szCs w:val="21"/>
        </w:rPr>
      </w:pPr>
      <w:r>
        <w:rPr>
          <w:rFonts w:hint="eastAsia" w:ascii="宋体" w:hAnsi="宋体" w:cs="宋体"/>
          <w:color w:val="auto"/>
          <w:szCs w:val="21"/>
        </w:rPr>
        <w:t>3、需要落实的政府采购政策：《政府采购促进中小企业发展暂行办法》（财库[2011]181号）、《关于政府采购支持监狱企业发展有关问题的通知》(财库[2014]68号)、</w:t>
      </w:r>
      <w:r>
        <w:rPr>
          <w:rFonts w:hint="eastAsia" w:ascii="宋体" w:hAnsi="宋体"/>
          <w:color w:val="auto"/>
          <w:szCs w:val="21"/>
        </w:rPr>
        <w:t>《三部门联合发布关于促进残疾人就业政府采购政策的通知》（财库</w:t>
      </w:r>
      <w:r>
        <w:rPr>
          <w:rFonts w:hint="eastAsia" w:ascii="宋体" w:hAnsi="宋体" w:cs="宋体"/>
          <w:color w:val="auto"/>
          <w:szCs w:val="21"/>
        </w:rPr>
        <w:t>〔2017</w:t>
      </w:r>
      <w:r>
        <w:rPr>
          <w:rFonts w:hint="eastAsia" w:ascii="宋体" w:hAnsi="宋体"/>
          <w:color w:val="auto"/>
          <w:szCs w:val="21"/>
        </w:rPr>
        <w:t>〕141号）等</w:t>
      </w:r>
      <w:r>
        <w:rPr>
          <w:rFonts w:hint="eastAsia" w:ascii="宋体" w:hAnsi="宋体" w:cs="宋体"/>
          <w:color w:val="auto"/>
          <w:szCs w:val="21"/>
        </w:rPr>
        <w:t>。</w:t>
      </w:r>
    </w:p>
    <w:p>
      <w:pPr>
        <w:numPr>
          <w:ilvl w:val="1"/>
          <w:numId w:val="2"/>
        </w:numPr>
        <w:tabs>
          <w:tab w:val="left" w:pos="360"/>
          <w:tab w:val="left" w:pos="862"/>
        </w:tabs>
        <w:spacing w:line="450" w:lineRule="exact"/>
        <w:ind w:left="748" w:hanging="567"/>
        <w:rPr>
          <w:rFonts w:ascii="宋体" w:hAnsi="宋体" w:cs="宋体"/>
          <w:b/>
          <w:color w:val="auto"/>
          <w:szCs w:val="21"/>
        </w:rPr>
      </w:pPr>
      <w:r>
        <w:rPr>
          <w:rFonts w:hint="eastAsia" w:ascii="宋体" w:hAnsi="宋体" w:cs="宋体"/>
          <w:b/>
          <w:color w:val="auto"/>
          <w:szCs w:val="21"/>
        </w:rPr>
        <w:t>供应商资格</w:t>
      </w:r>
    </w:p>
    <w:p>
      <w:pPr>
        <w:tabs>
          <w:tab w:val="left" w:pos="426"/>
        </w:tabs>
        <w:spacing w:line="360" w:lineRule="auto"/>
        <w:ind w:left="567" w:firstLine="294" w:firstLineChars="140"/>
        <w:rPr>
          <w:color w:val="auto"/>
          <w:szCs w:val="21"/>
        </w:rPr>
      </w:pPr>
      <w:r>
        <w:rPr>
          <w:rFonts w:hint="eastAsia"/>
          <w:color w:val="auto"/>
          <w:szCs w:val="21"/>
        </w:rPr>
        <w:t>1、投标人必须是在中华人民共和国境内注册并合法运作的独立法人机构或其他组织，且具有从事本项目的经营范围及能力，提供营业执照副本复印件加盖公章。</w:t>
      </w:r>
    </w:p>
    <w:p>
      <w:pPr>
        <w:tabs>
          <w:tab w:val="left" w:pos="840"/>
        </w:tabs>
        <w:spacing w:line="360" w:lineRule="auto"/>
        <w:ind w:left="862"/>
        <w:rPr>
          <w:color w:val="auto"/>
          <w:szCs w:val="21"/>
        </w:rPr>
      </w:pPr>
      <w:r>
        <w:rPr>
          <w:rFonts w:hint="eastAsia"/>
          <w:color w:val="auto"/>
          <w:szCs w:val="21"/>
        </w:rPr>
        <w:t>2、投标人必须具有效期内的污染物排放许可证。</w:t>
      </w:r>
    </w:p>
    <w:p>
      <w:pPr>
        <w:tabs>
          <w:tab w:val="left" w:pos="840"/>
        </w:tabs>
        <w:spacing w:line="360" w:lineRule="auto"/>
        <w:ind w:left="862"/>
        <w:rPr>
          <w:color w:val="auto"/>
          <w:szCs w:val="21"/>
        </w:rPr>
      </w:pPr>
      <w:r>
        <w:rPr>
          <w:rFonts w:hint="eastAsia"/>
          <w:color w:val="auto"/>
          <w:szCs w:val="21"/>
        </w:rPr>
        <w:t>3、参加投标的投标人代表必须是法人代表或法人授权代表。</w:t>
      </w:r>
      <w:bookmarkStart w:id="542" w:name="_GoBack"/>
      <w:bookmarkEnd w:id="542"/>
    </w:p>
    <w:p>
      <w:pPr>
        <w:tabs>
          <w:tab w:val="left" w:pos="840"/>
        </w:tabs>
        <w:spacing w:line="360" w:lineRule="auto"/>
        <w:ind w:left="862"/>
        <w:rPr>
          <w:color w:val="auto"/>
          <w:szCs w:val="21"/>
        </w:rPr>
      </w:pPr>
      <w:r>
        <w:rPr>
          <w:rFonts w:hint="eastAsia"/>
          <w:color w:val="auto"/>
          <w:szCs w:val="21"/>
        </w:rPr>
        <w:t>4、本项目不接受联合体投标。</w:t>
      </w:r>
    </w:p>
    <w:p>
      <w:pPr>
        <w:pStyle w:val="110"/>
        <w:spacing w:line="360" w:lineRule="auto"/>
        <w:ind w:left="420" w:firstLine="210" w:firstLineChars="100"/>
        <w:jc w:val="left"/>
        <w:rPr>
          <w:rFonts w:ascii="宋体" w:hAnsi="宋体" w:cs="宋体"/>
          <w:color w:val="auto"/>
          <w:szCs w:val="21"/>
        </w:rPr>
      </w:pPr>
      <w:r>
        <w:rPr>
          <w:rFonts w:hint="eastAsia" w:ascii="宋体" w:hAnsi="宋体" w:cs="宋体"/>
          <w:color w:val="auto"/>
          <w:szCs w:val="21"/>
        </w:rPr>
        <w:t>参加投标时必须为未被列入“信用中国”（www.creditchina.gov.cn）、中国政府采购网（</w:t>
      </w:r>
      <w:r>
        <w:rPr>
          <w:color w:val="auto"/>
        </w:rPr>
        <w:fldChar w:fldCharType="begin"/>
      </w:r>
      <w:r>
        <w:rPr>
          <w:color w:val="auto"/>
        </w:rPr>
        <w:instrText xml:space="preserve"> HYPERLINK "http://www.ccgp.gov.cn/" </w:instrText>
      </w:r>
      <w:r>
        <w:rPr>
          <w:color w:val="auto"/>
        </w:rPr>
        <w:fldChar w:fldCharType="separate"/>
      </w:r>
      <w:r>
        <w:rPr>
          <w:rFonts w:hint="eastAsia" w:ascii="宋体" w:hAnsi="宋体" w:cs="宋体"/>
          <w:color w:val="auto"/>
          <w:szCs w:val="21"/>
        </w:rPr>
        <w:t>http://www.ccgp.gov.cn/</w:t>
      </w:r>
      <w:r>
        <w:rPr>
          <w:rFonts w:hint="eastAsia" w:ascii="宋体" w:hAnsi="宋体" w:cs="宋体"/>
          <w:color w:val="auto"/>
          <w:szCs w:val="21"/>
        </w:rPr>
        <w:fldChar w:fldCharType="end"/>
      </w:r>
      <w:r>
        <w:rPr>
          <w:rFonts w:hint="eastAsia" w:ascii="宋体" w:hAnsi="宋体" w:cs="宋体"/>
          <w:color w:val="auto"/>
          <w:szCs w:val="21"/>
        </w:rPr>
        <w:t>）信用记录失信被执行人、重大税收违法案件当事人名单、政府采购严重违法失信行为记录名单供应商。同时提供对信用信息查询记录的截图并加盖公章。 相关截图批引具体截图方法：</w:t>
      </w:r>
    </w:p>
    <w:p>
      <w:pPr>
        <w:pStyle w:val="54"/>
        <w:spacing w:line="380" w:lineRule="exact"/>
        <w:ind w:left="567" w:firstLine="0" w:firstLineChars="0"/>
        <w:rPr>
          <w:rFonts w:hint="eastAsia" w:ascii="宋体" w:eastAsia="宋体" w:cs="宋体"/>
          <w:color w:val="auto"/>
          <w:sz w:val="21"/>
          <w:szCs w:val="21"/>
        </w:rPr>
      </w:pPr>
      <w:r>
        <w:rPr>
          <w:rFonts w:hint="eastAsia" w:ascii="宋体" w:eastAsia="宋体" w:cs="宋体"/>
          <w:color w:val="auto"/>
          <w:sz w:val="21"/>
          <w:szCs w:val="21"/>
        </w:rPr>
        <w:t>中国政府采购网：</w:t>
      </w:r>
      <w:r>
        <w:rPr>
          <w:color w:val="auto"/>
        </w:rPr>
        <w:fldChar w:fldCharType="begin"/>
      </w:r>
      <w:r>
        <w:rPr>
          <w:color w:val="auto"/>
        </w:rPr>
        <w:instrText xml:space="preserve"> HYPERLINK "http://www.ccgp.gov.cn/" </w:instrText>
      </w:r>
      <w:r>
        <w:rPr>
          <w:color w:val="auto"/>
        </w:rPr>
        <w:fldChar w:fldCharType="separate"/>
      </w:r>
      <w:r>
        <w:rPr>
          <w:rFonts w:hint="eastAsia" w:ascii="宋体" w:eastAsia="宋体" w:cs="宋体"/>
          <w:color w:val="auto"/>
          <w:sz w:val="21"/>
          <w:szCs w:val="21"/>
        </w:rPr>
        <w:t>http://www.ccgp.gov.cn/</w:t>
      </w:r>
      <w:r>
        <w:rPr>
          <w:rFonts w:hint="eastAsia" w:ascii="宋体" w:eastAsia="宋体" w:cs="宋体"/>
          <w:color w:val="auto"/>
          <w:sz w:val="21"/>
          <w:szCs w:val="21"/>
        </w:rPr>
        <w:fldChar w:fldCharType="end"/>
      </w:r>
    </w:p>
    <w:p>
      <w:pPr>
        <w:pStyle w:val="54"/>
        <w:spacing w:line="380" w:lineRule="exact"/>
        <w:ind w:left="567" w:firstLine="0" w:firstLineChars="0"/>
        <w:rPr>
          <w:color w:val="auto"/>
        </w:rPr>
      </w:pPr>
    </w:p>
    <w:p>
      <w:pPr>
        <w:pStyle w:val="54"/>
        <w:spacing w:line="380" w:lineRule="exact"/>
        <w:ind w:left="567" w:firstLine="0" w:firstLineChars="0"/>
        <w:rPr>
          <w:color w:val="auto"/>
        </w:rPr>
      </w:pPr>
    </w:p>
    <w:p>
      <w:pPr>
        <w:rPr>
          <w:color w:val="auto"/>
        </w:rPr>
      </w:pPr>
      <w:r>
        <w:rPr>
          <w:rFonts w:hint="eastAsia"/>
          <w:color w:val="auto"/>
        </w:rPr>
        <w:drawing>
          <wp:inline distT="0" distB="0" distL="114300" distR="114300">
            <wp:extent cx="5248910" cy="1678940"/>
            <wp:effectExtent l="0" t="0" r="8890" b="16510"/>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noChangeArrowheads="1"/>
                    </pic:cNvPicPr>
                  </pic:nvPicPr>
                  <pic:blipFill>
                    <a:blip r:embed="rId14"/>
                    <a:srcRect/>
                    <a:stretch>
                      <a:fillRect/>
                    </a:stretch>
                  </pic:blipFill>
                  <pic:spPr>
                    <a:xfrm>
                      <a:off x="0" y="0"/>
                      <a:ext cx="5248910" cy="1678940"/>
                    </a:xfrm>
                    <a:prstGeom prst="rect">
                      <a:avLst/>
                    </a:prstGeom>
                    <a:noFill/>
                    <a:ln w="9525">
                      <a:noFill/>
                      <a:miter lim="800000"/>
                      <a:headEnd/>
                      <a:tailEnd/>
                    </a:ln>
                  </pic:spPr>
                </pic:pic>
              </a:graphicData>
            </a:graphic>
          </wp:inline>
        </w:drawing>
      </w:r>
    </w:p>
    <w:p>
      <w:pPr>
        <w:pStyle w:val="4"/>
        <w:tabs>
          <w:tab w:val="left" w:pos="720"/>
        </w:tabs>
        <w:ind w:left="426" w:firstLine="0"/>
        <w:rPr>
          <w:rFonts w:hint="eastAsia" w:ascii="宋体" w:eastAsia="宋体" w:cs="宋体"/>
          <w:color w:val="auto"/>
          <w:sz w:val="21"/>
          <w:szCs w:val="21"/>
        </w:rPr>
      </w:pPr>
      <w:bookmarkStart w:id="10" w:name="_Toc21297"/>
      <w:bookmarkStart w:id="11" w:name="_Toc1923"/>
      <w:r>
        <w:rPr>
          <w:rFonts w:hint="eastAsia" w:hAnsi="宋体" w:cs="宋体"/>
          <w:b w:val="0"/>
          <w:color w:val="auto"/>
          <w:sz w:val="21"/>
          <w:szCs w:val="21"/>
        </w:rPr>
        <w:t>信用中国：</w:t>
      </w:r>
      <w:r>
        <w:rPr>
          <w:color w:val="auto"/>
        </w:rPr>
        <w:fldChar w:fldCharType="begin"/>
      </w:r>
      <w:r>
        <w:rPr>
          <w:color w:val="auto"/>
        </w:rPr>
        <w:instrText xml:space="preserve"> HYPERLINK "http://www.creditchina.gov.cn/" </w:instrText>
      </w:r>
      <w:r>
        <w:rPr>
          <w:color w:val="auto"/>
        </w:rPr>
        <w:fldChar w:fldCharType="separate"/>
      </w:r>
      <w:r>
        <w:rPr>
          <w:rFonts w:hint="eastAsia" w:hAnsi="宋体" w:cs="宋体"/>
          <w:b w:val="0"/>
          <w:color w:val="auto"/>
          <w:sz w:val="21"/>
          <w:szCs w:val="21"/>
        </w:rPr>
        <w:t>http://www.creditchina.gov.cn/</w:t>
      </w:r>
      <w:r>
        <w:rPr>
          <w:rFonts w:hint="eastAsia" w:hAnsi="宋体" w:cs="宋体"/>
          <w:b w:val="0"/>
          <w:color w:val="auto"/>
          <w:sz w:val="21"/>
          <w:szCs w:val="21"/>
        </w:rPr>
        <w:fldChar w:fldCharType="end"/>
      </w:r>
      <w:bookmarkEnd w:id="10"/>
      <w:bookmarkEnd w:id="11"/>
    </w:p>
    <w:p>
      <w:pPr>
        <w:pStyle w:val="54"/>
        <w:spacing w:line="380" w:lineRule="exact"/>
        <w:ind w:left="567" w:firstLine="0" w:firstLineChars="0"/>
        <w:rPr>
          <w:rFonts w:ascii="宋体" w:eastAsia="宋体" w:cs="宋体"/>
          <w:color w:val="auto"/>
          <w:sz w:val="21"/>
          <w:szCs w:val="21"/>
        </w:rPr>
      </w:pPr>
      <w:r>
        <w:rPr>
          <w:rFonts w:hint="eastAsia" w:ascii="宋体" w:eastAsia="宋体" w:cs="宋体"/>
          <w:color w:val="auto"/>
          <w:sz w:val="21"/>
          <w:szCs w:val="21"/>
        </w:rPr>
        <w:t>1、打开信用中国网站后，在搜索框里输入投标公司名称，点击搜索。</w:t>
      </w:r>
    </w:p>
    <w:p>
      <w:pPr>
        <w:rPr>
          <w:color w:val="auto"/>
        </w:rPr>
      </w:pPr>
    </w:p>
    <w:p>
      <w:pPr>
        <w:rPr>
          <w:color w:val="auto"/>
        </w:rPr>
      </w:pPr>
      <w:r>
        <w:rPr>
          <w:rFonts w:hint="eastAsia"/>
          <w:color w:val="auto"/>
        </w:rPr>
        <w:drawing>
          <wp:inline distT="0" distB="0" distL="0" distR="0">
            <wp:extent cx="5270500" cy="2527300"/>
            <wp:effectExtent l="19050" t="0" r="6350" b="0"/>
            <wp:docPr id="13" name="图片 22" descr="1573459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1573459764(1)"/>
                    <pic:cNvPicPr>
                      <a:picLocks noChangeAspect="1" noChangeArrowheads="1"/>
                    </pic:cNvPicPr>
                  </pic:nvPicPr>
                  <pic:blipFill>
                    <a:blip r:embed="rId15" cstate="print"/>
                    <a:srcRect/>
                    <a:stretch>
                      <a:fillRect/>
                    </a:stretch>
                  </pic:blipFill>
                  <pic:spPr>
                    <a:xfrm>
                      <a:off x="0" y="0"/>
                      <a:ext cx="5270500" cy="2527300"/>
                    </a:xfrm>
                    <a:prstGeom prst="rect">
                      <a:avLst/>
                    </a:prstGeom>
                    <a:noFill/>
                    <a:ln w="9525">
                      <a:noFill/>
                      <a:miter lim="800000"/>
                      <a:headEnd/>
                      <a:tailEnd/>
                    </a:ln>
                  </pic:spPr>
                </pic:pic>
              </a:graphicData>
            </a:graphic>
          </wp:inline>
        </w:drawing>
      </w:r>
    </w:p>
    <w:p>
      <w:pPr>
        <w:pStyle w:val="54"/>
        <w:spacing w:line="380" w:lineRule="exact"/>
        <w:ind w:left="567" w:firstLine="0" w:firstLineChars="0"/>
        <w:rPr>
          <w:rFonts w:ascii="宋体" w:eastAsia="宋体" w:cs="宋体"/>
          <w:color w:val="auto"/>
          <w:sz w:val="21"/>
          <w:szCs w:val="21"/>
        </w:rPr>
      </w:pPr>
      <w:r>
        <w:rPr>
          <w:rFonts w:hint="eastAsia" w:ascii="宋体" w:eastAsia="宋体" w:cs="宋体"/>
          <w:color w:val="auto"/>
          <w:sz w:val="21"/>
          <w:szCs w:val="21"/>
        </w:rPr>
        <w:t>2、点击搜索后出图二页面，完整截图保存，之后点击公司名称，出现图三页面，并完整截图保存图三页面。</w:t>
      </w:r>
    </w:p>
    <w:p>
      <w:pPr>
        <w:rPr>
          <w:color w:val="auto"/>
        </w:rPr>
      </w:pPr>
      <w:r>
        <w:rPr>
          <w:color w:val="auto"/>
        </w:rPr>
        <w:drawing>
          <wp:inline distT="0" distB="0" distL="0" distR="0">
            <wp:extent cx="5270500" cy="2380615"/>
            <wp:effectExtent l="19050" t="0" r="6350" b="0"/>
            <wp:docPr id="12" name="图片 23" descr="1573459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1573459822(1)"/>
                    <pic:cNvPicPr>
                      <a:picLocks noChangeAspect="1" noChangeArrowheads="1"/>
                    </pic:cNvPicPr>
                  </pic:nvPicPr>
                  <pic:blipFill>
                    <a:blip r:embed="rId16"/>
                    <a:srcRect/>
                    <a:stretch>
                      <a:fillRect/>
                    </a:stretch>
                  </pic:blipFill>
                  <pic:spPr>
                    <a:xfrm>
                      <a:off x="0" y="0"/>
                      <a:ext cx="5270500" cy="2380615"/>
                    </a:xfrm>
                    <a:prstGeom prst="rect">
                      <a:avLst/>
                    </a:prstGeom>
                    <a:noFill/>
                    <a:ln w="9525">
                      <a:noFill/>
                      <a:miter lim="800000"/>
                      <a:headEnd/>
                      <a:tailEnd/>
                    </a:ln>
                  </pic:spPr>
                </pic:pic>
              </a:graphicData>
            </a:graphic>
          </wp:inline>
        </w:drawing>
      </w:r>
    </w:p>
    <w:p>
      <w:pPr>
        <w:rPr>
          <w:color w:val="auto"/>
        </w:rPr>
      </w:pPr>
      <w:r>
        <w:rPr>
          <w:color w:val="auto"/>
        </w:rPr>
        <w:drawing>
          <wp:inline distT="0" distB="0" distL="0" distR="0">
            <wp:extent cx="5270500" cy="2527300"/>
            <wp:effectExtent l="19050" t="0" r="6350" b="0"/>
            <wp:docPr id="11" name="图片 24" descr="157345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1573459860"/>
                    <pic:cNvPicPr>
                      <a:picLocks noChangeAspect="1" noChangeArrowheads="1"/>
                    </pic:cNvPicPr>
                  </pic:nvPicPr>
                  <pic:blipFill>
                    <a:blip r:embed="rId17" cstate="print"/>
                    <a:srcRect/>
                    <a:stretch>
                      <a:fillRect/>
                    </a:stretch>
                  </pic:blipFill>
                  <pic:spPr>
                    <a:xfrm>
                      <a:off x="0" y="0"/>
                      <a:ext cx="5270500" cy="2527300"/>
                    </a:xfrm>
                    <a:prstGeom prst="rect">
                      <a:avLst/>
                    </a:prstGeom>
                    <a:noFill/>
                    <a:ln w="9525">
                      <a:noFill/>
                      <a:miter lim="800000"/>
                      <a:headEnd/>
                      <a:tailEnd/>
                    </a:ln>
                  </pic:spPr>
                </pic:pic>
              </a:graphicData>
            </a:graphic>
          </wp:inline>
        </w:drawing>
      </w:r>
    </w:p>
    <w:p>
      <w:pPr>
        <w:pStyle w:val="54"/>
        <w:spacing w:line="380" w:lineRule="exact"/>
        <w:ind w:left="567" w:firstLine="0" w:firstLineChars="0"/>
        <w:rPr>
          <w:rFonts w:ascii="宋体" w:eastAsia="宋体" w:cs="宋体"/>
          <w:color w:val="auto"/>
          <w:sz w:val="21"/>
          <w:szCs w:val="21"/>
        </w:rPr>
      </w:pPr>
      <w:r>
        <w:rPr>
          <w:rFonts w:hint="eastAsia" w:ascii="宋体" w:eastAsia="宋体" w:cs="宋体"/>
          <w:color w:val="auto"/>
          <w:sz w:val="21"/>
          <w:szCs w:val="21"/>
        </w:rPr>
        <w:t>3、返回图二页面，点击“失信被执行人”，完整截图保存“图四”</w:t>
      </w:r>
    </w:p>
    <w:p>
      <w:pPr>
        <w:rPr>
          <w:color w:val="auto"/>
        </w:rPr>
      </w:pPr>
    </w:p>
    <w:p>
      <w:pPr>
        <w:rPr>
          <w:color w:val="auto"/>
        </w:rPr>
      </w:pPr>
      <w:r>
        <w:rPr>
          <w:color w:val="auto"/>
        </w:rPr>
        <w:drawing>
          <wp:inline distT="0" distB="0" distL="0" distR="0">
            <wp:extent cx="5270500" cy="2363470"/>
            <wp:effectExtent l="19050" t="0" r="6350" b="0"/>
            <wp:docPr id="3" name="图片 25" descr="1573459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1573459923(1)"/>
                    <pic:cNvPicPr>
                      <a:picLocks noChangeAspect="1" noChangeArrowheads="1"/>
                    </pic:cNvPicPr>
                  </pic:nvPicPr>
                  <pic:blipFill>
                    <a:blip r:embed="rId18"/>
                    <a:srcRect/>
                    <a:stretch>
                      <a:fillRect/>
                    </a:stretch>
                  </pic:blipFill>
                  <pic:spPr>
                    <a:xfrm>
                      <a:off x="0" y="0"/>
                      <a:ext cx="5270500" cy="2363470"/>
                    </a:xfrm>
                    <a:prstGeom prst="rect">
                      <a:avLst/>
                    </a:prstGeom>
                    <a:noFill/>
                    <a:ln w="9525">
                      <a:noFill/>
                      <a:miter lim="800000"/>
                      <a:headEnd/>
                      <a:tailEnd/>
                    </a:ln>
                  </pic:spPr>
                </pic:pic>
              </a:graphicData>
            </a:graphic>
          </wp:inline>
        </w:drawing>
      </w:r>
    </w:p>
    <w:p>
      <w:pPr>
        <w:pStyle w:val="54"/>
        <w:spacing w:line="380" w:lineRule="exact"/>
        <w:ind w:left="567" w:firstLine="0" w:firstLineChars="0"/>
        <w:rPr>
          <w:rFonts w:ascii="宋体" w:eastAsia="宋体" w:cs="宋体"/>
          <w:color w:val="auto"/>
          <w:sz w:val="21"/>
          <w:szCs w:val="21"/>
        </w:rPr>
      </w:pPr>
      <w:r>
        <w:rPr>
          <w:rFonts w:hint="eastAsia" w:ascii="宋体" w:eastAsia="宋体" w:cs="宋体"/>
          <w:color w:val="auto"/>
          <w:sz w:val="21"/>
          <w:szCs w:val="21"/>
          <w:lang w:val="en-US" w:eastAsia="zh-CN"/>
        </w:rPr>
        <w:t>4、</w:t>
      </w:r>
      <w:r>
        <w:rPr>
          <w:rFonts w:hint="eastAsia" w:ascii="宋体" w:eastAsia="宋体" w:cs="宋体"/>
          <w:color w:val="auto"/>
          <w:sz w:val="21"/>
          <w:szCs w:val="21"/>
        </w:rPr>
        <w:t>点击“重大税收违法案件当事人名单”，完整截图保存“图五”</w:t>
      </w:r>
    </w:p>
    <w:p>
      <w:pPr>
        <w:rPr>
          <w:color w:val="auto"/>
        </w:rPr>
      </w:pPr>
      <w:r>
        <w:rPr>
          <w:color w:val="auto"/>
        </w:rPr>
        <w:drawing>
          <wp:inline distT="0" distB="0" distL="0" distR="0">
            <wp:extent cx="5270500" cy="2372360"/>
            <wp:effectExtent l="19050" t="0" r="6350" b="0"/>
            <wp:docPr id="5" name="图片 26" descr="157346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1573460001(1)"/>
                    <pic:cNvPicPr>
                      <a:picLocks noChangeAspect="1" noChangeArrowheads="1"/>
                    </pic:cNvPicPr>
                  </pic:nvPicPr>
                  <pic:blipFill>
                    <a:blip r:embed="rId19"/>
                    <a:srcRect/>
                    <a:stretch>
                      <a:fillRect/>
                    </a:stretch>
                  </pic:blipFill>
                  <pic:spPr>
                    <a:xfrm>
                      <a:off x="0" y="0"/>
                      <a:ext cx="5270500" cy="2372360"/>
                    </a:xfrm>
                    <a:prstGeom prst="rect">
                      <a:avLst/>
                    </a:prstGeom>
                    <a:noFill/>
                    <a:ln w="9525">
                      <a:noFill/>
                      <a:miter lim="800000"/>
                      <a:headEnd/>
                      <a:tailEnd/>
                    </a:ln>
                  </pic:spPr>
                </pic:pic>
              </a:graphicData>
            </a:graphic>
          </wp:inline>
        </w:drawing>
      </w:r>
    </w:p>
    <w:p>
      <w:pPr>
        <w:rPr>
          <w:color w:val="auto"/>
        </w:rPr>
      </w:pPr>
    </w:p>
    <w:p>
      <w:pPr>
        <w:rPr>
          <w:color w:val="auto"/>
        </w:rPr>
      </w:pPr>
      <w:r>
        <w:rPr>
          <w:rFonts w:hint="eastAsia" w:ascii="宋体" w:hAnsi="宋体" w:cs="宋体"/>
          <w:color w:val="auto"/>
          <w:szCs w:val="21"/>
        </w:rPr>
        <w:t>七、</w:t>
      </w:r>
      <w:r>
        <w:rPr>
          <w:rFonts w:hint="eastAsia" w:ascii="宋体" w:hAnsi="宋体" w:cs="宋体"/>
          <w:b/>
          <w:color w:val="auto"/>
          <w:szCs w:val="21"/>
        </w:rPr>
        <w:t>获取磋商文件的时间、地点、方式及磋商文件售价</w:t>
      </w:r>
    </w:p>
    <w:p>
      <w:pPr>
        <w:spacing w:line="440" w:lineRule="exact"/>
        <w:ind w:left="442" w:hanging="442" w:hangingChars="200"/>
        <w:jc w:val="left"/>
        <w:textAlignment w:val="baseline"/>
        <w:rPr>
          <w:rFonts w:ascii="宋体"/>
          <w:bCs/>
          <w:color w:val="auto"/>
          <w:sz w:val="22"/>
          <w:szCs w:val="22"/>
        </w:rPr>
      </w:pPr>
      <w:r>
        <w:rPr>
          <w:rFonts w:hint="eastAsia" w:ascii="宋体"/>
          <w:b/>
          <w:color w:val="auto"/>
          <w:sz w:val="22"/>
          <w:szCs w:val="22"/>
        </w:rPr>
        <w:t>1.磋商文件公示时间：</w:t>
      </w:r>
      <w:r>
        <w:rPr>
          <w:rFonts w:hint="eastAsia" w:ascii="宋体"/>
          <w:bCs/>
          <w:color w:val="auto"/>
          <w:sz w:val="22"/>
          <w:szCs w:val="22"/>
        </w:rPr>
        <w:t>2020年</w:t>
      </w:r>
      <w:r>
        <w:rPr>
          <w:rFonts w:hint="eastAsia" w:ascii="宋体"/>
          <w:bCs/>
          <w:color w:val="auto"/>
          <w:sz w:val="22"/>
          <w:szCs w:val="22"/>
          <w:u w:val="single"/>
          <w:lang w:val="en-US" w:eastAsia="zh-CN"/>
        </w:rPr>
        <w:t>4</w:t>
      </w:r>
      <w:r>
        <w:rPr>
          <w:rFonts w:hint="eastAsia" w:ascii="宋体"/>
          <w:bCs/>
          <w:color w:val="auto"/>
          <w:sz w:val="22"/>
          <w:szCs w:val="22"/>
        </w:rPr>
        <w:t>月</w:t>
      </w:r>
      <w:r>
        <w:rPr>
          <w:rFonts w:hint="eastAsia" w:ascii="宋体"/>
          <w:bCs/>
          <w:color w:val="auto"/>
          <w:sz w:val="22"/>
          <w:szCs w:val="22"/>
          <w:u w:val="single"/>
          <w:lang w:val="en-US" w:eastAsia="zh-CN"/>
        </w:rPr>
        <w:t>22</w:t>
      </w:r>
      <w:r>
        <w:rPr>
          <w:rFonts w:hint="eastAsia" w:ascii="宋体"/>
          <w:bCs/>
          <w:color w:val="auto"/>
          <w:sz w:val="22"/>
          <w:szCs w:val="22"/>
        </w:rPr>
        <w:t>日至2020年</w:t>
      </w:r>
      <w:r>
        <w:rPr>
          <w:rFonts w:hint="eastAsia" w:ascii="宋体"/>
          <w:bCs/>
          <w:color w:val="auto"/>
          <w:sz w:val="22"/>
          <w:szCs w:val="22"/>
          <w:u w:val="single"/>
          <w:lang w:val="en-US" w:eastAsia="zh-CN"/>
        </w:rPr>
        <w:t>4</w:t>
      </w:r>
      <w:r>
        <w:rPr>
          <w:rFonts w:hint="eastAsia" w:ascii="宋体"/>
          <w:bCs/>
          <w:color w:val="auto"/>
          <w:sz w:val="22"/>
          <w:szCs w:val="22"/>
        </w:rPr>
        <w:t>月</w:t>
      </w:r>
      <w:r>
        <w:rPr>
          <w:rFonts w:hint="eastAsia" w:ascii="宋体"/>
          <w:bCs/>
          <w:color w:val="auto"/>
          <w:sz w:val="22"/>
          <w:szCs w:val="22"/>
          <w:u w:val="single"/>
          <w:lang w:val="en-US" w:eastAsia="zh-CN"/>
        </w:rPr>
        <w:t>28</w:t>
      </w:r>
      <w:r>
        <w:rPr>
          <w:rFonts w:hint="eastAsia" w:ascii="宋体"/>
          <w:bCs/>
          <w:color w:val="auto"/>
          <w:sz w:val="22"/>
          <w:szCs w:val="22"/>
        </w:rPr>
        <w:t>日</w:t>
      </w:r>
      <w:r>
        <w:rPr>
          <w:rFonts w:hint="eastAsia" w:ascii="宋体"/>
          <w:bCs/>
          <w:color w:val="auto"/>
          <w:sz w:val="22"/>
          <w:szCs w:val="22"/>
        </w:rPr>
        <w:t>（共5个工作日）。</w:t>
      </w:r>
    </w:p>
    <w:p>
      <w:pPr>
        <w:pStyle w:val="54"/>
        <w:tabs>
          <w:tab w:val="left" w:pos="425"/>
        </w:tabs>
        <w:spacing w:line="380" w:lineRule="exact"/>
        <w:ind w:firstLine="0" w:firstLineChars="0"/>
        <w:rPr>
          <w:rFonts w:ascii="宋体" w:eastAsia="宋体"/>
          <w:bCs/>
          <w:color w:val="auto"/>
          <w:sz w:val="22"/>
          <w:szCs w:val="22"/>
        </w:rPr>
      </w:pPr>
      <w:r>
        <w:rPr>
          <w:rFonts w:hint="eastAsia" w:ascii="宋体" w:eastAsia="宋体"/>
          <w:b/>
          <w:color w:val="auto"/>
          <w:sz w:val="22"/>
          <w:szCs w:val="22"/>
        </w:rPr>
        <w:t>2.获取磋商文件时间：</w:t>
      </w:r>
      <w:r>
        <w:rPr>
          <w:rFonts w:hint="eastAsia" w:ascii="宋体" w:hAnsi="宋体" w:eastAsia="宋体" w:cs="宋体"/>
          <w:bCs/>
          <w:color w:val="auto"/>
          <w:sz w:val="22"/>
          <w:szCs w:val="22"/>
        </w:rPr>
        <w:t>2020年</w:t>
      </w:r>
      <w:r>
        <w:rPr>
          <w:rFonts w:hint="eastAsia" w:ascii="宋体" w:eastAsia="宋体" w:cs="宋体"/>
          <w:bCs/>
          <w:color w:val="auto"/>
          <w:sz w:val="22"/>
          <w:szCs w:val="22"/>
          <w:u w:val="single"/>
          <w:lang w:val="en-US" w:eastAsia="zh-CN"/>
        </w:rPr>
        <w:t>4</w:t>
      </w:r>
      <w:r>
        <w:rPr>
          <w:rFonts w:hint="eastAsia" w:ascii="宋体" w:hAnsi="宋体" w:eastAsia="宋体" w:cs="宋体"/>
          <w:bCs/>
          <w:color w:val="auto"/>
          <w:sz w:val="22"/>
          <w:szCs w:val="22"/>
        </w:rPr>
        <w:t>月</w:t>
      </w:r>
      <w:r>
        <w:rPr>
          <w:rFonts w:hint="eastAsia" w:ascii="宋体" w:eastAsia="宋体" w:cs="宋体"/>
          <w:bCs/>
          <w:color w:val="auto"/>
          <w:sz w:val="22"/>
          <w:szCs w:val="22"/>
          <w:u w:val="single"/>
          <w:lang w:val="en-US" w:eastAsia="zh-CN"/>
        </w:rPr>
        <w:t>22</w:t>
      </w:r>
      <w:r>
        <w:rPr>
          <w:rFonts w:hint="eastAsia" w:ascii="宋体" w:hAnsi="宋体" w:eastAsia="宋体" w:cs="宋体"/>
          <w:bCs/>
          <w:color w:val="auto"/>
          <w:sz w:val="22"/>
          <w:szCs w:val="22"/>
        </w:rPr>
        <w:t>日至2020年</w:t>
      </w:r>
      <w:r>
        <w:rPr>
          <w:rFonts w:hint="eastAsia" w:ascii="宋体" w:eastAsia="宋体" w:cs="宋体"/>
          <w:bCs/>
          <w:color w:val="auto"/>
          <w:sz w:val="22"/>
          <w:szCs w:val="22"/>
          <w:u w:val="single"/>
          <w:lang w:val="en-US" w:eastAsia="zh-CN"/>
        </w:rPr>
        <w:t>4</w:t>
      </w:r>
      <w:r>
        <w:rPr>
          <w:rFonts w:hint="eastAsia" w:ascii="宋体" w:hAnsi="宋体" w:eastAsia="宋体" w:cs="宋体"/>
          <w:bCs/>
          <w:color w:val="auto"/>
          <w:sz w:val="22"/>
          <w:szCs w:val="22"/>
        </w:rPr>
        <w:t>月</w:t>
      </w:r>
      <w:r>
        <w:rPr>
          <w:rFonts w:hint="eastAsia" w:ascii="宋体" w:eastAsia="宋体" w:cs="宋体"/>
          <w:bCs/>
          <w:color w:val="auto"/>
          <w:sz w:val="22"/>
          <w:szCs w:val="22"/>
          <w:u w:val="single"/>
          <w:lang w:val="en-US" w:eastAsia="zh-CN"/>
        </w:rPr>
        <w:t>28</w:t>
      </w:r>
      <w:r>
        <w:rPr>
          <w:rFonts w:hint="eastAsia" w:ascii="宋体" w:hAnsi="宋体" w:eastAsia="宋体" w:cs="宋体"/>
          <w:bCs/>
          <w:color w:val="auto"/>
          <w:sz w:val="22"/>
          <w:szCs w:val="22"/>
        </w:rPr>
        <w:t>日</w:t>
      </w:r>
      <w:r>
        <w:rPr>
          <w:rFonts w:hint="eastAsia" w:ascii="宋体" w:eastAsia="宋体"/>
          <w:color w:val="auto"/>
          <w:sz w:val="22"/>
          <w:szCs w:val="22"/>
        </w:rPr>
        <w:t>，</w:t>
      </w:r>
      <w:r>
        <w:rPr>
          <w:rFonts w:hint="eastAsia" w:ascii="宋体" w:eastAsia="宋体"/>
          <w:bCs/>
          <w:color w:val="auto"/>
          <w:sz w:val="22"/>
          <w:szCs w:val="22"/>
        </w:rPr>
        <w:t>上午8：30～12：00，下午14：00～17：30（公休节假日除外）。</w:t>
      </w:r>
    </w:p>
    <w:p>
      <w:pPr>
        <w:pStyle w:val="54"/>
        <w:tabs>
          <w:tab w:val="left" w:pos="425"/>
        </w:tabs>
        <w:spacing w:line="380" w:lineRule="exact"/>
        <w:ind w:firstLine="0" w:firstLineChars="0"/>
        <w:rPr>
          <w:rFonts w:ascii="宋体" w:eastAsia="宋体"/>
          <w:bCs/>
          <w:color w:val="auto"/>
          <w:sz w:val="22"/>
          <w:szCs w:val="22"/>
        </w:rPr>
      </w:pPr>
      <w:r>
        <w:rPr>
          <w:rFonts w:hint="eastAsia" w:ascii="宋体" w:eastAsia="宋体"/>
          <w:b/>
          <w:color w:val="auto"/>
          <w:sz w:val="22"/>
          <w:szCs w:val="22"/>
        </w:rPr>
        <w:t>3.获取磋商文件地点：</w:t>
      </w:r>
      <w:r>
        <w:rPr>
          <w:rFonts w:hint="eastAsia" w:ascii="宋体" w:eastAsia="宋体"/>
          <w:bCs/>
          <w:color w:val="auto"/>
          <w:sz w:val="22"/>
          <w:szCs w:val="22"/>
        </w:rPr>
        <w:t>佛山市高明区荷城街道荷富路783号高明体育中心综合体育馆C门三楼</w:t>
      </w:r>
      <w:r>
        <w:rPr>
          <w:rFonts w:hint="eastAsia" w:ascii="宋体" w:eastAsia="宋体"/>
          <w:bCs/>
          <w:color w:val="auto"/>
          <w:sz w:val="22"/>
          <w:szCs w:val="22"/>
        </w:rPr>
        <w:t>。</w:t>
      </w:r>
    </w:p>
    <w:p>
      <w:pPr>
        <w:pStyle w:val="54"/>
        <w:tabs>
          <w:tab w:val="left" w:pos="425"/>
        </w:tabs>
        <w:spacing w:line="380" w:lineRule="exact"/>
        <w:ind w:firstLine="0" w:firstLineChars="0"/>
        <w:rPr>
          <w:rFonts w:ascii="宋体" w:eastAsia="宋体"/>
          <w:bCs/>
          <w:color w:val="auto"/>
          <w:sz w:val="22"/>
          <w:szCs w:val="22"/>
        </w:rPr>
      </w:pPr>
      <w:r>
        <w:rPr>
          <w:rFonts w:hint="eastAsia" w:ascii="宋体" w:eastAsia="宋体"/>
          <w:b/>
          <w:color w:val="auto"/>
          <w:sz w:val="22"/>
          <w:szCs w:val="22"/>
        </w:rPr>
        <w:t>4.获取磋商文件方式：</w:t>
      </w:r>
      <w:r>
        <w:rPr>
          <w:rFonts w:hint="eastAsia" w:ascii="宋体" w:eastAsia="宋体"/>
          <w:bCs/>
          <w:color w:val="auto"/>
          <w:sz w:val="22"/>
          <w:szCs w:val="22"/>
        </w:rPr>
        <w:t>现场购买并提供下列证明文件的复印件或网页打印件并加盖公章。</w:t>
      </w:r>
    </w:p>
    <w:p>
      <w:pPr>
        <w:pStyle w:val="54"/>
        <w:spacing w:line="380" w:lineRule="exact"/>
        <w:ind w:firstLine="0" w:firstLineChars="0"/>
        <w:rPr>
          <w:rFonts w:ascii="宋体" w:eastAsia="宋体"/>
          <w:bCs/>
          <w:color w:val="auto"/>
          <w:sz w:val="22"/>
          <w:szCs w:val="22"/>
        </w:rPr>
      </w:pPr>
      <w:r>
        <w:rPr>
          <w:rFonts w:hint="eastAsia" w:ascii="宋体" w:eastAsia="宋体"/>
          <w:bCs/>
          <w:color w:val="auto"/>
          <w:sz w:val="22"/>
          <w:szCs w:val="22"/>
        </w:rPr>
        <w:t>（1）供应商购买磋商文件时须提供《营业执照》或《事业单位法人证书》复印件（加盖公章）。</w:t>
      </w:r>
    </w:p>
    <w:p>
      <w:pPr>
        <w:pStyle w:val="54"/>
        <w:spacing w:line="380" w:lineRule="exact"/>
        <w:ind w:firstLine="0" w:firstLineChars="0"/>
        <w:rPr>
          <w:rFonts w:ascii="宋体" w:eastAsia="宋体"/>
          <w:bCs/>
          <w:color w:val="auto"/>
          <w:sz w:val="22"/>
          <w:szCs w:val="22"/>
        </w:rPr>
      </w:pPr>
      <w:r>
        <w:rPr>
          <w:rFonts w:hint="eastAsia" w:ascii="宋体" w:eastAsia="宋体"/>
          <w:bCs/>
          <w:color w:val="auto"/>
          <w:sz w:val="22"/>
          <w:szCs w:val="22"/>
        </w:rPr>
        <w:t>（2）提供供应商在磋商文件发售期内“信用中国”（www.creditchina.gov.cn）、中国政府采购网（</w:t>
      </w:r>
      <w:r>
        <w:rPr>
          <w:color w:val="auto"/>
        </w:rPr>
        <w:fldChar w:fldCharType="begin"/>
      </w:r>
      <w:r>
        <w:rPr>
          <w:color w:val="auto"/>
        </w:rPr>
        <w:instrText xml:space="preserve"> HYPERLINK "http://www.ccgp.gov.cn/" </w:instrText>
      </w:r>
      <w:r>
        <w:rPr>
          <w:color w:val="auto"/>
        </w:rPr>
        <w:fldChar w:fldCharType="separate"/>
      </w:r>
      <w:r>
        <w:rPr>
          <w:rFonts w:hint="eastAsia" w:ascii="宋体" w:eastAsia="宋体"/>
          <w:bCs/>
          <w:color w:val="auto"/>
          <w:sz w:val="22"/>
          <w:szCs w:val="22"/>
        </w:rPr>
        <w:t>http://www.ccgp.gov.cn/</w:t>
      </w:r>
      <w:r>
        <w:rPr>
          <w:rFonts w:hint="eastAsia" w:ascii="宋体" w:eastAsia="宋体"/>
          <w:bCs/>
          <w:color w:val="auto"/>
          <w:sz w:val="22"/>
          <w:szCs w:val="22"/>
        </w:rPr>
        <w:fldChar w:fldCharType="end"/>
      </w:r>
      <w:r>
        <w:rPr>
          <w:rFonts w:hint="eastAsia" w:ascii="宋体" w:eastAsia="宋体"/>
          <w:bCs/>
          <w:color w:val="auto"/>
          <w:sz w:val="22"/>
          <w:szCs w:val="22"/>
        </w:rPr>
        <w:t>）信用记录失信被执行人、重大税收违法案件当事人名单、政府采购严重违法失信行为记录名单”的查询结果截图并加盖公章；供应商应对网页查询结果截图的真实性负责。</w:t>
      </w:r>
    </w:p>
    <w:p>
      <w:pPr>
        <w:pStyle w:val="54"/>
        <w:spacing w:line="380" w:lineRule="exact"/>
        <w:ind w:firstLine="0" w:firstLineChars="0"/>
        <w:rPr>
          <w:rFonts w:ascii="宋体" w:eastAsia="宋体"/>
          <w:bCs/>
          <w:color w:val="auto"/>
          <w:sz w:val="22"/>
          <w:szCs w:val="22"/>
        </w:rPr>
      </w:pPr>
      <w:r>
        <w:rPr>
          <w:rFonts w:hint="eastAsia" w:ascii="宋体" w:eastAsia="宋体"/>
          <w:bCs/>
          <w:color w:val="auto"/>
          <w:sz w:val="22"/>
          <w:szCs w:val="22"/>
        </w:rPr>
        <w:t>（3）对于列入失信被执行人、重大税收违法案件当事人名单、政府采购严重违法失信行为记录名单及其他不符合《中华人民共和国政府采购法》第二十二条规定条件的供应商，将拒绝其参与政府采购活动，同时对信用信息查询记录和证据进行打印存档。（处罚期限届满的除外）</w:t>
      </w:r>
    </w:p>
    <w:p>
      <w:pPr>
        <w:pStyle w:val="54"/>
        <w:tabs>
          <w:tab w:val="left" w:pos="425"/>
        </w:tabs>
        <w:spacing w:line="380" w:lineRule="exact"/>
        <w:ind w:firstLine="0" w:firstLineChars="0"/>
        <w:rPr>
          <w:rFonts w:ascii="宋体" w:eastAsia="宋体"/>
          <w:bCs/>
          <w:color w:val="auto"/>
          <w:sz w:val="22"/>
          <w:szCs w:val="22"/>
        </w:rPr>
      </w:pPr>
      <w:r>
        <w:rPr>
          <w:rFonts w:hint="eastAsia" w:ascii="宋体" w:eastAsia="宋体"/>
          <w:bCs/>
          <w:color w:val="auto"/>
          <w:sz w:val="22"/>
          <w:szCs w:val="22"/>
        </w:rPr>
        <w:t>（4）如法定代表人参与磋商的，须提供法定代表人证明书原件、法定代表人身份证复印件；如授权人参与谈判的，须提供法定代表人证明书原件、法定代表人身份证复印件、法定代表人授权委托书原件、授权人身份证复印件。</w:t>
      </w:r>
    </w:p>
    <w:p>
      <w:pPr>
        <w:pStyle w:val="54"/>
        <w:numPr>
          <w:ilvl w:val="0"/>
          <w:numId w:val="3"/>
        </w:numPr>
        <w:spacing w:line="450" w:lineRule="exact"/>
        <w:ind w:firstLineChars="0"/>
        <w:rPr>
          <w:rFonts w:ascii="宋体" w:eastAsia="宋体"/>
          <w:b/>
          <w:color w:val="auto"/>
          <w:sz w:val="22"/>
          <w:szCs w:val="22"/>
        </w:rPr>
      </w:pPr>
      <w:r>
        <w:rPr>
          <w:rFonts w:hint="eastAsia" w:ascii="宋体" w:eastAsia="宋体"/>
          <w:b/>
          <w:color w:val="auto"/>
          <w:sz w:val="22"/>
          <w:szCs w:val="22"/>
        </w:rPr>
        <w:t>投标截止时间、开标时间、地点及开标事宜</w:t>
      </w:r>
    </w:p>
    <w:p>
      <w:pPr>
        <w:pStyle w:val="54"/>
        <w:tabs>
          <w:tab w:val="left" w:pos="360"/>
        </w:tabs>
        <w:spacing w:line="380" w:lineRule="exact"/>
        <w:ind w:firstLine="0" w:firstLineChars="0"/>
        <w:rPr>
          <w:rFonts w:ascii="宋体" w:eastAsia="宋体"/>
          <w:color w:val="auto"/>
          <w:sz w:val="22"/>
          <w:szCs w:val="22"/>
        </w:rPr>
      </w:pPr>
      <w:r>
        <w:rPr>
          <w:rFonts w:hint="eastAsia" w:ascii="宋体" w:eastAsia="宋体"/>
          <w:b/>
          <w:color w:val="auto"/>
          <w:sz w:val="22"/>
          <w:szCs w:val="22"/>
        </w:rPr>
        <w:t>1.递交磋商文件时间：</w:t>
      </w:r>
      <w:r>
        <w:rPr>
          <w:rFonts w:hint="eastAsia" w:ascii="宋体" w:hAnsi="宋体" w:eastAsia="宋体" w:cs="宋体"/>
          <w:bCs/>
          <w:color w:val="auto"/>
          <w:sz w:val="22"/>
          <w:szCs w:val="22"/>
        </w:rPr>
        <w:t>2020年</w:t>
      </w:r>
      <w:r>
        <w:rPr>
          <w:rFonts w:hint="eastAsia" w:ascii="宋体" w:eastAsia="宋体" w:cs="宋体"/>
          <w:bCs/>
          <w:color w:val="auto"/>
          <w:sz w:val="22"/>
          <w:szCs w:val="22"/>
          <w:u w:val="single"/>
          <w:lang w:val="en-US" w:eastAsia="zh-CN"/>
        </w:rPr>
        <w:t>5</w:t>
      </w:r>
      <w:r>
        <w:rPr>
          <w:rFonts w:hint="eastAsia" w:ascii="宋体" w:hAnsi="宋体" w:eastAsia="宋体" w:cs="宋体"/>
          <w:bCs/>
          <w:color w:val="auto"/>
          <w:sz w:val="22"/>
          <w:szCs w:val="22"/>
        </w:rPr>
        <w:t>月</w:t>
      </w:r>
      <w:r>
        <w:rPr>
          <w:rFonts w:hint="eastAsia" w:ascii="宋体" w:eastAsia="宋体" w:cs="宋体"/>
          <w:bCs/>
          <w:color w:val="auto"/>
          <w:sz w:val="22"/>
          <w:szCs w:val="22"/>
          <w:u w:val="single"/>
          <w:lang w:val="en-US" w:eastAsia="zh-CN"/>
        </w:rPr>
        <w:t>7</w:t>
      </w:r>
      <w:r>
        <w:rPr>
          <w:rFonts w:hint="eastAsia" w:ascii="宋体" w:hAnsi="宋体" w:eastAsia="宋体" w:cs="宋体"/>
          <w:bCs/>
          <w:color w:val="auto"/>
          <w:sz w:val="22"/>
          <w:szCs w:val="22"/>
        </w:rPr>
        <w:t>日</w:t>
      </w:r>
      <w:r>
        <w:rPr>
          <w:rFonts w:hint="eastAsia" w:ascii="宋体" w:eastAsia="宋体"/>
          <w:bCs/>
          <w:color w:val="auto"/>
          <w:sz w:val="22"/>
          <w:szCs w:val="22"/>
          <w:u w:val="single"/>
          <w:lang w:val="en-US" w:eastAsia="zh-CN"/>
        </w:rPr>
        <w:t>9</w:t>
      </w:r>
      <w:r>
        <w:rPr>
          <w:rFonts w:hint="eastAsia" w:ascii="宋体" w:eastAsia="宋体"/>
          <w:bCs/>
          <w:color w:val="auto"/>
          <w:sz w:val="22"/>
          <w:szCs w:val="22"/>
          <w:lang w:val="en-US" w:eastAsia="zh-CN"/>
        </w:rPr>
        <w:t>时</w:t>
      </w:r>
      <w:r>
        <w:rPr>
          <w:rFonts w:hint="eastAsia" w:ascii="宋体" w:eastAsia="宋体"/>
          <w:bCs/>
          <w:color w:val="auto"/>
          <w:sz w:val="22"/>
          <w:szCs w:val="22"/>
          <w:u w:val="single"/>
          <w:lang w:val="en-US" w:eastAsia="zh-CN"/>
        </w:rPr>
        <w:t>00</w:t>
      </w:r>
      <w:r>
        <w:rPr>
          <w:rFonts w:hint="eastAsia" w:ascii="宋体" w:eastAsia="宋体"/>
          <w:bCs/>
          <w:color w:val="auto"/>
          <w:sz w:val="22"/>
          <w:szCs w:val="22"/>
          <w:lang w:val="en-US" w:eastAsia="zh-CN"/>
        </w:rPr>
        <w:t>分</w:t>
      </w:r>
      <w:r>
        <w:rPr>
          <w:rFonts w:hint="eastAsia" w:ascii="宋体" w:eastAsia="宋体"/>
          <w:color w:val="auto"/>
          <w:sz w:val="22"/>
          <w:szCs w:val="22"/>
        </w:rPr>
        <w:t>至</w:t>
      </w:r>
      <w:r>
        <w:rPr>
          <w:rFonts w:hint="eastAsia" w:ascii="宋体" w:eastAsia="宋体"/>
          <w:color w:val="auto"/>
          <w:sz w:val="22"/>
          <w:szCs w:val="22"/>
          <w:u w:val="single"/>
          <w:lang w:val="en-US" w:eastAsia="zh-CN"/>
        </w:rPr>
        <w:t>9</w:t>
      </w:r>
      <w:r>
        <w:rPr>
          <w:rFonts w:hint="eastAsia" w:ascii="宋体" w:eastAsia="宋体"/>
          <w:color w:val="auto"/>
          <w:sz w:val="22"/>
          <w:szCs w:val="22"/>
          <w:lang w:val="en-US" w:eastAsia="zh-CN"/>
        </w:rPr>
        <w:t>时</w:t>
      </w:r>
      <w:r>
        <w:rPr>
          <w:rFonts w:hint="eastAsia" w:ascii="宋体" w:eastAsia="宋体"/>
          <w:color w:val="auto"/>
          <w:sz w:val="22"/>
          <w:szCs w:val="22"/>
          <w:u w:val="single"/>
          <w:lang w:val="en-US" w:eastAsia="zh-CN"/>
        </w:rPr>
        <w:t>30</w:t>
      </w:r>
      <w:r>
        <w:rPr>
          <w:rFonts w:hint="eastAsia" w:ascii="宋体" w:eastAsia="宋体"/>
          <w:color w:val="auto"/>
          <w:sz w:val="22"/>
          <w:szCs w:val="22"/>
          <w:lang w:val="en-US" w:eastAsia="zh-CN"/>
        </w:rPr>
        <w:t>分</w:t>
      </w:r>
      <w:r>
        <w:rPr>
          <w:rFonts w:hint="eastAsia" w:ascii="宋体" w:eastAsia="宋体"/>
          <w:color w:val="auto"/>
          <w:sz w:val="22"/>
          <w:szCs w:val="22"/>
        </w:rPr>
        <w:t>（北京时间）。</w:t>
      </w:r>
    </w:p>
    <w:p>
      <w:pPr>
        <w:pStyle w:val="54"/>
        <w:tabs>
          <w:tab w:val="left" w:pos="360"/>
        </w:tabs>
        <w:spacing w:line="380" w:lineRule="exact"/>
        <w:ind w:firstLine="0" w:firstLineChars="0"/>
        <w:rPr>
          <w:rFonts w:ascii="宋体" w:eastAsia="宋体"/>
          <w:color w:val="auto"/>
          <w:sz w:val="22"/>
          <w:szCs w:val="22"/>
        </w:rPr>
      </w:pPr>
      <w:r>
        <w:rPr>
          <w:rFonts w:hint="eastAsia" w:ascii="宋体" w:eastAsia="宋体"/>
          <w:b/>
          <w:color w:val="auto"/>
          <w:sz w:val="22"/>
          <w:szCs w:val="22"/>
        </w:rPr>
        <w:t>2.投标截止及开标时间</w:t>
      </w:r>
      <w:r>
        <w:rPr>
          <w:rFonts w:hint="eastAsia" w:ascii="宋体" w:eastAsia="宋体"/>
          <w:color w:val="auto"/>
          <w:sz w:val="22"/>
          <w:szCs w:val="22"/>
        </w:rPr>
        <w:t>：</w:t>
      </w:r>
      <w:r>
        <w:rPr>
          <w:rFonts w:hint="eastAsia" w:ascii="宋体" w:hAnsi="宋体" w:eastAsia="宋体" w:cs="宋体"/>
          <w:bCs/>
          <w:color w:val="auto"/>
          <w:sz w:val="22"/>
          <w:szCs w:val="22"/>
        </w:rPr>
        <w:t>2020年</w:t>
      </w:r>
      <w:r>
        <w:rPr>
          <w:rFonts w:hint="eastAsia" w:ascii="宋体" w:eastAsia="宋体" w:cs="宋体"/>
          <w:bCs/>
          <w:color w:val="auto"/>
          <w:sz w:val="22"/>
          <w:szCs w:val="22"/>
          <w:u w:val="single"/>
          <w:lang w:val="en-US" w:eastAsia="zh-CN"/>
        </w:rPr>
        <w:t>5</w:t>
      </w:r>
      <w:r>
        <w:rPr>
          <w:rFonts w:hint="eastAsia" w:ascii="宋体" w:hAnsi="宋体" w:eastAsia="宋体" w:cs="宋体"/>
          <w:bCs/>
          <w:color w:val="auto"/>
          <w:sz w:val="22"/>
          <w:szCs w:val="22"/>
        </w:rPr>
        <w:t>月</w:t>
      </w:r>
      <w:r>
        <w:rPr>
          <w:rFonts w:hint="eastAsia" w:ascii="宋体" w:eastAsia="宋体" w:cs="宋体"/>
          <w:bCs/>
          <w:color w:val="auto"/>
          <w:sz w:val="22"/>
          <w:szCs w:val="22"/>
          <w:u w:val="single"/>
          <w:lang w:val="en-US" w:eastAsia="zh-CN"/>
        </w:rPr>
        <w:t>7</w:t>
      </w:r>
      <w:r>
        <w:rPr>
          <w:rFonts w:hint="eastAsia" w:ascii="宋体" w:hAnsi="宋体" w:eastAsia="宋体" w:cs="宋体"/>
          <w:bCs/>
          <w:color w:val="auto"/>
          <w:sz w:val="22"/>
          <w:szCs w:val="22"/>
        </w:rPr>
        <w:t>日</w:t>
      </w:r>
      <w:r>
        <w:rPr>
          <w:rFonts w:hint="eastAsia" w:ascii="宋体" w:eastAsia="宋体"/>
          <w:color w:val="auto"/>
          <w:sz w:val="22"/>
          <w:szCs w:val="22"/>
          <w:u w:val="single"/>
          <w:lang w:val="en-US" w:eastAsia="zh-CN"/>
        </w:rPr>
        <w:t>9</w:t>
      </w:r>
      <w:r>
        <w:rPr>
          <w:rFonts w:hint="eastAsia" w:ascii="宋体" w:eastAsia="宋体"/>
          <w:color w:val="auto"/>
          <w:sz w:val="22"/>
          <w:szCs w:val="22"/>
          <w:lang w:val="en-US" w:eastAsia="zh-CN"/>
        </w:rPr>
        <w:t>时</w:t>
      </w:r>
      <w:r>
        <w:rPr>
          <w:rFonts w:hint="eastAsia" w:ascii="宋体" w:eastAsia="宋体"/>
          <w:color w:val="auto"/>
          <w:sz w:val="22"/>
          <w:szCs w:val="22"/>
          <w:u w:val="single"/>
          <w:lang w:val="en-US" w:eastAsia="zh-CN"/>
        </w:rPr>
        <w:t>30</w:t>
      </w:r>
      <w:r>
        <w:rPr>
          <w:rFonts w:hint="eastAsia" w:ascii="宋体" w:eastAsia="宋体"/>
          <w:color w:val="auto"/>
          <w:sz w:val="22"/>
          <w:szCs w:val="22"/>
          <w:lang w:val="en-US" w:eastAsia="zh-CN"/>
        </w:rPr>
        <w:t>分</w:t>
      </w:r>
      <w:r>
        <w:rPr>
          <w:rFonts w:hint="eastAsia" w:ascii="宋体" w:eastAsia="宋体"/>
          <w:color w:val="auto"/>
          <w:sz w:val="22"/>
          <w:szCs w:val="22"/>
        </w:rPr>
        <w:t>（北京时间）。</w:t>
      </w:r>
    </w:p>
    <w:p>
      <w:pPr>
        <w:pStyle w:val="54"/>
        <w:tabs>
          <w:tab w:val="left" w:pos="360"/>
        </w:tabs>
        <w:spacing w:line="380" w:lineRule="exact"/>
        <w:ind w:firstLine="0" w:firstLineChars="0"/>
        <w:rPr>
          <w:rFonts w:ascii="宋体" w:eastAsia="宋体"/>
          <w:color w:val="auto"/>
          <w:sz w:val="22"/>
          <w:szCs w:val="22"/>
        </w:rPr>
      </w:pPr>
      <w:r>
        <w:rPr>
          <w:rFonts w:hint="eastAsia" w:ascii="宋体" w:eastAsia="宋体"/>
          <w:b/>
          <w:color w:val="auto"/>
          <w:sz w:val="22"/>
          <w:szCs w:val="22"/>
        </w:rPr>
        <w:t>3.递交磋商文件及开标地点</w:t>
      </w:r>
      <w:r>
        <w:rPr>
          <w:rFonts w:hint="eastAsia" w:ascii="宋体" w:eastAsia="宋体"/>
          <w:color w:val="auto"/>
          <w:sz w:val="22"/>
          <w:szCs w:val="22"/>
        </w:rPr>
        <w:t>：</w:t>
      </w:r>
      <w:r>
        <w:rPr>
          <w:rFonts w:hint="eastAsia" w:ascii="宋体" w:eastAsia="宋体"/>
          <w:bCs/>
          <w:color w:val="auto"/>
          <w:sz w:val="22"/>
          <w:szCs w:val="22"/>
        </w:rPr>
        <w:t>佛山市高明区荷城街道荷富路783号高明体育中心综合体育馆C门三楼</w:t>
      </w:r>
      <w:r>
        <w:rPr>
          <w:rFonts w:hint="eastAsia" w:ascii="宋体" w:eastAsia="宋体"/>
          <w:color w:val="auto"/>
          <w:sz w:val="22"/>
          <w:szCs w:val="22"/>
        </w:rPr>
        <w:t>开标室。</w:t>
      </w:r>
    </w:p>
    <w:p>
      <w:pPr>
        <w:pStyle w:val="54"/>
        <w:tabs>
          <w:tab w:val="left" w:pos="360"/>
        </w:tabs>
        <w:spacing w:line="380" w:lineRule="exact"/>
        <w:ind w:firstLine="0" w:firstLineChars="0"/>
        <w:rPr>
          <w:rFonts w:ascii="宋体" w:eastAsia="宋体"/>
          <w:color w:val="auto"/>
          <w:sz w:val="22"/>
          <w:szCs w:val="22"/>
        </w:rPr>
      </w:pPr>
      <w:r>
        <w:rPr>
          <w:rFonts w:hint="eastAsia" w:ascii="宋体" w:eastAsia="宋体"/>
          <w:b/>
          <w:color w:val="auto"/>
          <w:sz w:val="22"/>
          <w:szCs w:val="22"/>
        </w:rPr>
        <w:t>4.开标事宜</w:t>
      </w:r>
      <w:r>
        <w:rPr>
          <w:rFonts w:hint="eastAsia" w:ascii="宋体" w:eastAsia="宋体"/>
          <w:color w:val="auto"/>
          <w:sz w:val="22"/>
          <w:szCs w:val="22"/>
        </w:rPr>
        <w:t>：届时请各投标人的法定代表人或其正式授权代表务必携带有效身份证明签名报到，以证明其出席。</w:t>
      </w:r>
    </w:p>
    <w:p>
      <w:pPr>
        <w:pStyle w:val="54"/>
        <w:numPr>
          <w:ilvl w:val="255"/>
          <w:numId w:val="0"/>
        </w:numPr>
        <w:spacing w:line="450" w:lineRule="exact"/>
        <w:rPr>
          <w:rFonts w:ascii="宋体" w:eastAsia="宋体"/>
          <w:b/>
          <w:color w:val="auto"/>
          <w:sz w:val="22"/>
          <w:szCs w:val="22"/>
        </w:rPr>
      </w:pPr>
      <w:r>
        <w:rPr>
          <w:rFonts w:hint="eastAsia" w:ascii="宋体" w:eastAsia="宋体"/>
          <w:b/>
          <w:color w:val="auto"/>
          <w:sz w:val="22"/>
          <w:szCs w:val="22"/>
        </w:rPr>
        <w:t>九、联系事项</w:t>
      </w:r>
    </w:p>
    <w:p>
      <w:pPr>
        <w:tabs>
          <w:tab w:val="left" w:pos="360"/>
        </w:tabs>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（一）采购单位：高明区人民医院</w:t>
      </w:r>
    </w:p>
    <w:p>
      <w:pPr>
        <w:tabs>
          <w:tab w:val="left" w:pos="360"/>
        </w:tabs>
        <w:spacing w:line="440" w:lineRule="exact"/>
        <w:ind w:firstLine="630" w:firstLineChars="300"/>
        <w:rPr>
          <w:rFonts w:hint="eastAsia" w:ascii="宋体" w:hAnsi="宋体" w:eastAsia="宋体" w:cs="宋体"/>
          <w:color w:val="auto"/>
          <w:sz w:val="22"/>
          <w:szCs w:val="22"/>
        </w:rPr>
      </w:pPr>
      <w:r>
        <w:rPr>
          <w:rFonts w:hint="eastAsia" w:ascii="宋体" w:hAnsi="宋体" w:eastAsia="宋体" w:cs="宋体"/>
          <w:color w:val="auto"/>
          <w:sz w:val="22"/>
          <w:szCs w:val="22"/>
        </w:rPr>
        <w:t>地址：佛山市高明区荷城街道康宁路1号</w:t>
      </w:r>
    </w:p>
    <w:p>
      <w:pPr>
        <w:tabs>
          <w:tab w:val="left" w:pos="360"/>
        </w:tabs>
        <w:spacing w:line="440" w:lineRule="exact"/>
        <w:ind w:firstLine="630" w:firstLineChars="300"/>
        <w:rPr>
          <w:rFonts w:hint="eastAsia" w:ascii="宋体" w:hAnsi="宋体" w:eastAsia="宋体" w:cs="宋体"/>
          <w:color w:val="auto"/>
          <w:sz w:val="22"/>
          <w:szCs w:val="22"/>
        </w:rPr>
      </w:pPr>
      <w:r>
        <w:rPr>
          <w:rFonts w:hint="eastAsia" w:ascii="宋体" w:hAnsi="宋体" w:eastAsia="宋体" w:cs="宋体"/>
          <w:color w:val="auto"/>
          <w:sz w:val="22"/>
          <w:szCs w:val="22"/>
        </w:rPr>
        <w:t>联系人：杨先生</w:t>
      </w:r>
    </w:p>
    <w:p>
      <w:pPr>
        <w:rPr>
          <w:rFonts w:hint="eastAsia" w:ascii="宋体" w:hAnsi="宋体" w:eastAsia="宋体" w:cs="宋体"/>
          <w:b/>
          <w:color w:val="auto"/>
          <w:sz w:val="22"/>
          <w:szCs w:val="22"/>
        </w:rPr>
      </w:pPr>
      <w:r>
        <w:rPr>
          <w:rFonts w:hint="eastAsia" w:ascii="宋体" w:hAnsi="宋体" w:eastAsia="宋体" w:cs="宋体"/>
          <w:color w:val="auto"/>
          <w:sz w:val="22"/>
          <w:szCs w:val="22"/>
        </w:rPr>
        <w:t xml:space="preserve">      联系电话：0757-88681902</w:t>
      </w:r>
    </w:p>
    <w:p>
      <w:pPr>
        <w:tabs>
          <w:tab w:val="left" w:pos="360"/>
        </w:tabs>
        <w:spacing w:line="440" w:lineRule="exact"/>
        <w:ind w:firstLine="630" w:firstLineChars="300"/>
        <w:rPr>
          <w:rFonts w:hint="eastAsia" w:ascii="宋体" w:hAnsi="宋体" w:eastAsia="宋体" w:cs="宋体"/>
          <w:color w:val="auto"/>
          <w:sz w:val="22"/>
          <w:szCs w:val="22"/>
        </w:rPr>
      </w:pPr>
      <w:r>
        <w:rPr>
          <w:rFonts w:hint="eastAsia" w:ascii="宋体" w:hAnsi="宋体" w:eastAsia="宋体" w:cs="宋体"/>
          <w:color w:val="auto"/>
          <w:sz w:val="22"/>
          <w:szCs w:val="22"/>
        </w:rPr>
        <w:t>邮编：528500</w:t>
      </w:r>
    </w:p>
    <w:p>
      <w:pPr>
        <w:tabs>
          <w:tab w:val="left" w:pos="360"/>
        </w:tabs>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（二）采购代理机构：广东熙泽企业管理有限公司</w:t>
      </w:r>
    </w:p>
    <w:p>
      <w:pPr>
        <w:tabs>
          <w:tab w:val="left" w:pos="360"/>
        </w:tabs>
        <w:spacing w:line="440" w:lineRule="exact"/>
        <w:ind w:firstLine="630" w:firstLineChars="300"/>
        <w:rPr>
          <w:rFonts w:hint="eastAsia" w:ascii="宋体" w:hAnsi="宋体" w:eastAsia="宋体" w:cs="宋体"/>
          <w:color w:val="auto"/>
          <w:sz w:val="22"/>
          <w:szCs w:val="22"/>
        </w:rPr>
      </w:pPr>
      <w:r>
        <w:rPr>
          <w:rFonts w:hint="eastAsia" w:ascii="宋体" w:hAnsi="宋体" w:eastAsia="宋体" w:cs="宋体"/>
          <w:color w:val="auto"/>
          <w:sz w:val="22"/>
          <w:szCs w:val="22"/>
        </w:rPr>
        <w:t>地址：佛山市高明区荷城街道荷富路783号高明体育中心综合体育馆C门三楼</w:t>
      </w:r>
    </w:p>
    <w:p>
      <w:pPr>
        <w:tabs>
          <w:tab w:val="left" w:pos="360"/>
        </w:tabs>
        <w:spacing w:line="440" w:lineRule="exact"/>
        <w:ind w:firstLine="630" w:firstLineChars="300"/>
        <w:rPr>
          <w:rFonts w:hint="eastAsia" w:ascii="宋体" w:hAnsi="宋体" w:eastAsia="宋体" w:cs="宋体"/>
          <w:color w:val="auto"/>
          <w:sz w:val="22"/>
          <w:szCs w:val="22"/>
        </w:rPr>
      </w:pPr>
      <w:r>
        <w:rPr>
          <w:rFonts w:hint="eastAsia" w:ascii="宋体" w:hAnsi="宋体" w:eastAsia="宋体" w:cs="宋体"/>
          <w:color w:val="auto"/>
          <w:sz w:val="22"/>
          <w:szCs w:val="22"/>
        </w:rPr>
        <w:t>联系人：梁小姐</w:t>
      </w:r>
    </w:p>
    <w:p>
      <w:pPr>
        <w:tabs>
          <w:tab w:val="left" w:pos="360"/>
        </w:tabs>
        <w:spacing w:line="440" w:lineRule="exact"/>
        <w:ind w:firstLine="630" w:firstLineChars="300"/>
        <w:rPr>
          <w:rFonts w:hint="eastAsia" w:ascii="宋体" w:hAnsi="宋体" w:eastAsia="宋体" w:cs="宋体"/>
          <w:color w:val="auto"/>
          <w:sz w:val="22"/>
          <w:szCs w:val="22"/>
        </w:rPr>
      </w:pPr>
      <w:r>
        <w:rPr>
          <w:rFonts w:hint="eastAsia" w:ascii="宋体" w:hAnsi="宋体" w:eastAsia="宋体" w:cs="宋体"/>
          <w:color w:val="auto"/>
          <w:sz w:val="22"/>
          <w:szCs w:val="22"/>
        </w:rPr>
        <w:t>联系电话：0757-88631138</w:t>
      </w:r>
    </w:p>
    <w:p>
      <w:pPr>
        <w:tabs>
          <w:tab w:val="left" w:pos="360"/>
        </w:tabs>
        <w:spacing w:line="440" w:lineRule="exact"/>
        <w:ind w:firstLine="630" w:firstLineChars="300"/>
        <w:rPr>
          <w:rFonts w:hint="eastAsia" w:ascii="宋体" w:hAnsi="宋体" w:eastAsia="宋体" w:cs="宋体"/>
          <w:color w:val="auto"/>
          <w:sz w:val="22"/>
          <w:szCs w:val="22"/>
        </w:rPr>
      </w:pPr>
      <w:r>
        <w:rPr>
          <w:rFonts w:hint="eastAsia" w:ascii="宋体" w:hAnsi="宋体" w:eastAsia="宋体" w:cs="宋体"/>
          <w:color w:val="auto"/>
          <w:sz w:val="22"/>
          <w:szCs w:val="22"/>
        </w:rPr>
        <w:t>邮编：528500</w:t>
      </w:r>
    </w:p>
    <w:p>
      <w:pPr>
        <w:tabs>
          <w:tab w:val="left" w:pos="360"/>
        </w:tabs>
        <w:spacing w:line="440" w:lineRule="exact"/>
        <w:ind w:firstLine="63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广东熙泽企业管理有限公司</w:t>
      </w:r>
    </w:p>
    <w:p>
      <w:pPr>
        <w:tabs>
          <w:tab w:val="left" w:pos="360"/>
        </w:tabs>
        <w:spacing w:line="440" w:lineRule="exact"/>
        <w:ind w:firstLine="63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2020年</w:t>
      </w:r>
      <w:r>
        <w:rPr>
          <w:rFonts w:hint="eastAsia" w:ascii="宋体" w:hAnsi="宋体" w:cs="宋体"/>
          <w:color w:val="auto"/>
          <w:sz w:val="22"/>
          <w:szCs w:val="22"/>
          <w:u w:val="single"/>
          <w:lang w:val="en-US" w:eastAsia="zh-CN"/>
        </w:rPr>
        <w:t>4</w:t>
      </w:r>
      <w:r>
        <w:rPr>
          <w:rFonts w:hint="eastAsia" w:ascii="宋体" w:hAnsi="宋体" w:eastAsia="宋体" w:cs="宋体"/>
          <w:color w:val="auto"/>
          <w:sz w:val="22"/>
          <w:szCs w:val="22"/>
        </w:rPr>
        <w:t>月</w:t>
      </w:r>
      <w:r>
        <w:rPr>
          <w:rFonts w:hint="eastAsia" w:ascii="宋体" w:hAnsi="宋体" w:cs="宋体"/>
          <w:color w:val="auto"/>
          <w:sz w:val="22"/>
          <w:szCs w:val="22"/>
          <w:u w:val="single"/>
          <w:lang w:val="en-US" w:eastAsia="zh-CN"/>
        </w:rPr>
        <w:t>21</w:t>
      </w:r>
      <w:r>
        <w:rPr>
          <w:rFonts w:hint="eastAsia" w:ascii="宋体" w:hAnsi="宋体" w:eastAsia="宋体" w:cs="宋体"/>
          <w:color w:val="auto"/>
          <w:sz w:val="22"/>
          <w:szCs w:val="22"/>
        </w:rPr>
        <w:t>日</w:t>
      </w:r>
      <w:bookmarkEnd w:id="9"/>
    </w:p>
    <w:p>
      <w:pPr>
        <w:pStyle w:val="4"/>
        <w:rPr>
          <w:color w:val="auto"/>
        </w:rPr>
      </w:pPr>
    </w:p>
    <w:p>
      <w:pPr>
        <w:pStyle w:val="2"/>
        <w:rPr>
          <w:color w:val="auto"/>
        </w:rPr>
      </w:pPr>
    </w:p>
    <w:p>
      <w:pPr>
        <w:pStyle w:val="2"/>
        <w:rPr>
          <w:color w:val="auto"/>
        </w:rPr>
      </w:pPr>
    </w:p>
    <w:bookmarkEnd w:id="2"/>
    <w:bookmarkEnd w:id="3"/>
    <w:p>
      <w:pPr>
        <w:ind w:firstLine="562" w:firstLineChars="200"/>
        <w:jc w:val="center"/>
        <w:outlineLvl w:val="0"/>
        <w:rPr>
          <w:rFonts w:ascii="宋体" w:hAnsi="宋体"/>
          <w:b/>
          <w:color w:val="auto"/>
          <w:sz w:val="28"/>
          <w:szCs w:val="28"/>
        </w:rPr>
      </w:pPr>
      <w:bookmarkStart w:id="12" w:name="_Toc2889"/>
      <w:r>
        <w:rPr>
          <w:rFonts w:hint="eastAsia" w:ascii="宋体" w:hAnsi="宋体"/>
          <w:b/>
          <w:color w:val="auto"/>
          <w:sz w:val="28"/>
          <w:szCs w:val="28"/>
        </w:rPr>
        <w:t>第二章 磋商须知</w:t>
      </w:r>
      <w:bookmarkEnd w:id="12"/>
    </w:p>
    <w:p>
      <w:pPr>
        <w:ind w:firstLine="562" w:firstLineChars="200"/>
        <w:jc w:val="center"/>
        <w:rPr>
          <w:rFonts w:ascii="宋体" w:hAnsi="宋体"/>
          <w:b/>
          <w:color w:val="auto"/>
          <w:sz w:val="28"/>
          <w:szCs w:val="28"/>
        </w:rPr>
      </w:pPr>
      <w:r>
        <w:rPr>
          <w:rFonts w:hint="eastAsia" w:ascii="宋体" w:hAnsi="宋体"/>
          <w:b/>
          <w:color w:val="auto"/>
          <w:sz w:val="28"/>
          <w:szCs w:val="28"/>
        </w:rPr>
        <w:t>磋商须知前附表</w:t>
      </w:r>
    </w:p>
    <w:tbl>
      <w:tblPr>
        <w:tblStyle w:val="37"/>
        <w:tblW w:w="101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632"/>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b/>
                <w:color w:val="auto"/>
                <w:sz w:val="21"/>
              </w:rPr>
            </w:pPr>
            <w:r>
              <w:rPr>
                <w:rFonts w:hint="eastAsia" w:hAnsi="宋体"/>
                <w:b/>
                <w:color w:val="auto"/>
                <w:sz w:val="21"/>
              </w:rPr>
              <w:t>序号</w:t>
            </w:r>
          </w:p>
        </w:tc>
        <w:tc>
          <w:tcPr>
            <w:tcW w:w="1632"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b/>
                <w:color w:val="auto"/>
                <w:sz w:val="21"/>
              </w:rPr>
            </w:pPr>
            <w:r>
              <w:rPr>
                <w:rFonts w:hint="eastAsia" w:hAnsi="宋体"/>
                <w:b/>
                <w:color w:val="auto"/>
                <w:sz w:val="21"/>
              </w:rPr>
              <w:t>项目</w:t>
            </w:r>
          </w:p>
        </w:tc>
        <w:tc>
          <w:tcPr>
            <w:tcW w:w="762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b/>
                <w:color w:val="auto"/>
                <w:sz w:val="21"/>
              </w:rPr>
            </w:pPr>
            <w:r>
              <w:rPr>
                <w:rFonts w:hint="eastAsia" w:hAnsi="宋体"/>
                <w:b/>
                <w:color w:val="auto"/>
                <w:sz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pStyle w:val="17"/>
              <w:numPr>
                <w:ilvl w:val="0"/>
                <w:numId w:val="4"/>
              </w:numPr>
              <w:adjustRightInd w:val="0"/>
              <w:snapToGrid w:val="0"/>
              <w:spacing w:line="240" w:lineRule="auto"/>
              <w:jc w:val="center"/>
              <w:rPr>
                <w:rFonts w:hAnsi="宋体"/>
                <w:color w:val="auto"/>
                <w:sz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color w:val="auto"/>
                <w:sz w:val="21"/>
              </w:rPr>
            </w:pPr>
            <w:r>
              <w:rPr>
                <w:rFonts w:hint="eastAsia" w:hAnsi="宋体"/>
                <w:color w:val="auto"/>
                <w:sz w:val="21"/>
              </w:rPr>
              <w:t>采购人名称</w:t>
            </w:r>
          </w:p>
        </w:tc>
        <w:tc>
          <w:tcPr>
            <w:tcW w:w="76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Ansi="宋体"/>
                <w:bCs/>
                <w:color w:val="auto"/>
                <w:szCs w:val="21"/>
              </w:rPr>
            </w:pPr>
            <w:r>
              <w:rPr>
                <w:rFonts w:hint="eastAsia" w:ascii="宋体" w:hAnsi="宋体"/>
                <w:color w:val="auto"/>
                <w:szCs w:val="21"/>
              </w:rPr>
              <w:t>高明区人民医院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pStyle w:val="17"/>
              <w:numPr>
                <w:ilvl w:val="0"/>
                <w:numId w:val="4"/>
              </w:numPr>
              <w:adjustRightInd w:val="0"/>
              <w:snapToGrid w:val="0"/>
              <w:spacing w:line="240" w:lineRule="auto"/>
              <w:jc w:val="center"/>
              <w:rPr>
                <w:rFonts w:hAnsi="宋体"/>
                <w:bCs/>
                <w:color w:val="auto"/>
                <w:sz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color w:val="auto"/>
                <w:sz w:val="21"/>
              </w:rPr>
            </w:pPr>
            <w:r>
              <w:rPr>
                <w:rFonts w:hint="eastAsia" w:hAnsi="宋体"/>
                <w:bCs/>
                <w:color w:val="auto"/>
                <w:sz w:val="21"/>
              </w:rPr>
              <w:t>项目预算及资金来源</w:t>
            </w:r>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360"/>
              </w:tabs>
              <w:spacing w:line="450" w:lineRule="exact"/>
              <w:rPr>
                <w:rFonts w:ascii="宋体" w:hAnsi="宋体" w:cstheme="minorBidi"/>
                <w:bCs/>
                <w:color w:val="auto"/>
                <w:szCs w:val="21"/>
              </w:rPr>
            </w:pPr>
            <w:r>
              <w:rPr>
                <w:rFonts w:hint="eastAsia" w:ascii="宋体" w:hAnsi="宋体" w:cstheme="minorBidi"/>
                <w:bCs/>
                <w:color w:val="auto"/>
                <w:szCs w:val="21"/>
              </w:rPr>
              <w:t>本项目预算价：人民币2020000.00元；</w:t>
            </w:r>
          </w:p>
          <w:p>
            <w:pPr>
              <w:pStyle w:val="17"/>
              <w:adjustRightInd w:val="0"/>
              <w:snapToGrid w:val="0"/>
              <w:spacing w:line="240" w:lineRule="auto"/>
              <w:rPr>
                <w:rFonts w:hAnsi="宋体"/>
                <w:color w:val="auto"/>
                <w:sz w:val="21"/>
              </w:rPr>
            </w:pPr>
            <w:r>
              <w:rPr>
                <w:rFonts w:hint="eastAsia" w:hAnsi="宋体"/>
                <w:bCs/>
                <w:color w:val="auto"/>
                <w:sz w:val="21"/>
              </w:rPr>
              <w:t>资金来源：自筹。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pStyle w:val="17"/>
              <w:numPr>
                <w:ilvl w:val="0"/>
                <w:numId w:val="4"/>
              </w:numPr>
              <w:adjustRightInd w:val="0"/>
              <w:snapToGrid w:val="0"/>
              <w:spacing w:line="240" w:lineRule="auto"/>
              <w:jc w:val="center"/>
              <w:rPr>
                <w:rFonts w:hAnsi="宋体"/>
                <w:bCs/>
                <w:color w:val="auto"/>
                <w:sz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color w:val="auto"/>
                <w:sz w:val="21"/>
              </w:rPr>
            </w:pPr>
            <w:r>
              <w:rPr>
                <w:rFonts w:hint="eastAsia" w:hAnsi="宋体"/>
                <w:bCs/>
                <w:color w:val="auto"/>
                <w:sz w:val="21"/>
              </w:rPr>
              <w:t>答疑及踏勘现场等</w:t>
            </w:r>
          </w:p>
        </w:tc>
        <w:tc>
          <w:tcPr>
            <w:tcW w:w="7621"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rPr>
                <w:rFonts w:hAnsi="宋体"/>
                <w:bCs/>
                <w:color w:val="auto"/>
                <w:sz w:val="21"/>
              </w:rPr>
            </w:pPr>
            <w:r>
              <w:rPr>
                <w:rFonts w:hint="eastAsia" w:hAnsi="宋体"/>
                <w:color w:val="auto"/>
                <w:sz w:val="21"/>
              </w:rPr>
              <w:t>本项目不举行集中答疑会</w:t>
            </w:r>
            <w:r>
              <w:rPr>
                <w:rFonts w:hint="eastAsia" w:hAnsi="宋体"/>
                <w:bCs/>
                <w:color w:val="auto"/>
                <w:sz w:val="21"/>
              </w:rPr>
              <w:t>。</w:t>
            </w:r>
          </w:p>
          <w:p>
            <w:pPr>
              <w:pStyle w:val="17"/>
              <w:tabs>
                <w:tab w:val="left" w:pos="1084"/>
              </w:tabs>
              <w:adjustRightInd w:val="0"/>
              <w:snapToGrid w:val="0"/>
              <w:spacing w:line="240" w:lineRule="auto"/>
              <w:rPr>
                <w:rFonts w:hAnsi="宋体"/>
                <w:bCs/>
                <w:color w:val="auto"/>
                <w:sz w:val="21"/>
              </w:rPr>
            </w:pPr>
            <w:r>
              <w:rPr>
                <w:rFonts w:hint="eastAsia" w:hAnsi="宋体"/>
                <w:color w:val="auto"/>
                <w:sz w:val="21"/>
              </w:rPr>
              <w:t>本项目不举行</w:t>
            </w:r>
            <w:r>
              <w:rPr>
                <w:rFonts w:hint="eastAsia" w:hAnsi="宋体"/>
                <w:bCs/>
                <w:color w:val="auto"/>
                <w:sz w:val="21"/>
              </w:rPr>
              <w:t>现场考察。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pStyle w:val="17"/>
              <w:numPr>
                <w:ilvl w:val="0"/>
                <w:numId w:val="4"/>
              </w:numPr>
              <w:adjustRightInd w:val="0"/>
              <w:snapToGrid w:val="0"/>
              <w:spacing w:line="240" w:lineRule="auto"/>
              <w:jc w:val="center"/>
              <w:rPr>
                <w:rFonts w:hAnsi="宋体"/>
                <w:color w:val="auto"/>
                <w:sz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color w:val="auto"/>
                <w:sz w:val="21"/>
              </w:rPr>
            </w:pPr>
            <w:r>
              <w:rPr>
                <w:rFonts w:hint="eastAsia" w:hAnsi="宋体"/>
                <w:color w:val="auto"/>
                <w:sz w:val="21"/>
              </w:rPr>
              <w:t>磋商有效期</w:t>
            </w:r>
          </w:p>
        </w:tc>
        <w:tc>
          <w:tcPr>
            <w:tcW w:w="7621" w:type="dxa"/>
            <w:tcBorders>
              <w:top w:val="single" w:color="auto" w:sz="4" w:space="0"/>
              <w:left w:val="single" w:color="auto" w:sz="4" w:space="0"/>
              <w:bottom w:val="single" w:color="auto" w:sz="4" w:space="0"/>
              <w:right w:val="single" w:color="auto" w:sz="4" w:space="0"/>
            </w:tcBorders>
            <w:vAlign w:val="center"/>
          </w:tcPr>
          <w:p>
            <w:pPr>
              <w:pStyle w:val="9"/>
              <w:jc w:val="both"/>
              <w:rPr>
                <w:rFonts w:ascii="宋体" w:hAnsi="宋体"/>
                <w:color w:val="auto"/>
                <w:szCs w:val="21"/>
              </w:rPr>
            </w:pPr>
            <w:r>
              <w:rPr>
                <w:rFonts w:hint="eastAsia" w:ascii="宋体" w:hAnsi="宋体"/>
                <w:color w:val="auto"/>
              </w:rPr>
              <w:t>自</w:t>
            </w:r>
            <w:r>
              <w:rPr>
                <w:rFonts w:hint="eastAsia" w:ascii="宋体" w:hAnsi="宋体" w:cs="宋体"/>
                <w:color w:val="auto"/>
                <w:shd w:val="clear" w:color="auto" w:fill="FFFFFF"/>
              </w:rPr>
              <w:t>提交首次响应文件</w:t>
            </w:r>
            <w:r>
              <w:rPr>
                <w:rFonts w:hint="eastAsia" w:ascii="宋体" w:hAnsi="宋体"/>
                <w:color w:val="auto"/>
              </w:rPr>
              <w:t>截止之日</w:t>
            </w:r>
            <w:r>
              <w:rPr>
                <w:rFonts w:hint="eastAsia" w:ascii="宋体" w:hAnsi="宋体"/>
                <w:color w:val="auto"/>
                <w:szCs w:val="21"/>
              </w:rPr>
              <w:t>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906" w:type="dxa"/>
            <w:vMerge w:val="restart"/>
            <w:tcBorders>
              <w:top w:val="single" w:color="auto" w:sz="4" w:space="0"/>
              <w:left w:val="single" w:color="auto" w:sz="4" w:space="0"/>
              <w:right w:val="single" w:color="auto" w:sz="4" w:space="0"/>
            </w:tcBorders>
            <w:vAlign w:val="center"/>
          </w:tcPr>
          <w:p>
            <w:pPr>
              <w:pStyle w:val="17"/>
              <w:numPr>
                <w:ilvl w:val="0"/>
                <w:numId w:val="4"/>
              </w:numPr>
              <w:adjustRightInd w:val="0"/>
              <w:snapToGrid w:val="0"/>
              <w:spacing w:line="240" w:lineRule="auto"/>
              <w:jc w:val="center"/>
              <w:rPr>
                <w:rFonts w:hAnsi="宋体"/>
                <w:bCs/>
                <w:color w:val="auto"/>
                <w:sz w:val="21"/>
              </w:rPr>
            </w:pPr>
          </w:p>
        </w:tc>
        <w:tc>
          <w:tcPr>
            <w:tcW w:w="1632" w:type="dxa"/>
            <w:vMerge w:val="restart"/>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color w:val="auto"/>
                <w:sz w:val="21"/>
              </w:rPr>
            </w:pPr>
            <w:r>
              <w:rPr>
                <w:rFonts w:hint="eastAsia" w:hAnsi="宋体"/>
                <w:bCs/>
                <w:color w:val="auto"/>
                <w:sz w:val="21"/>
              </w:rPr>
              <w:t>磋商保证金</w:t>
            </w:r>
          </w:p>
        </w:tc>
        <w:tc>
          <w:tcPr>
            <w:tcW w:w="7621"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olor w:val="auto"/>
                <w:szCs w:val="21"/>
              </w:rPr>
            </w:pPr>
            <w:r>
              <w:rPr>
                <w:rFonts w:hint="eastAsia" w:ascii="宋体" w:hAnsi="宋体"/>
                <w:color w:val="auto"/>
                <w:szCs w:val="21"/>
              </w:rPr>
              <w:t>大写：人民币肆万元整，￥40000.00元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906" w:type="dxa"/>
            <w:vMerge w:val="continue"/>
            <w:tcBorders>
              <w:left w:val="single" w:color="auto" w:sz="4" w:space="0"/>
              <w:bottom w:val="single" w:color="auto" w:sz="4" w:space="0"/>
              <w:right w:val="single" w:color="auto" w:sz="4" w:space="0"/>
            </w:tcBorders>
            <w:vAlign w:val="center"/>
          </w:tcPr>
          <w:p>
            <w:pPr>
              <w:widowControl/>
              <w:numPr>
                <w:ilvl w:val="0"/>
                <w:numId w:val="4"/>
              </w:numPr>
              <w:jc w:val="center"/>
              <w:rPr>
                <w:rFonts w:ascii="宋体" w:hAnsi="宋体"/>
                <w:color w:val="auto"/>
                <w:szCs w:val="21"/>
              </w:rPr>
            </w:pPr>
          </w:p>
        </w:tc>
        <w:tc>
          <w:tcPr>
            <w:tcW w:w="16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szCs w:val="21"/>
              </w:rPr>
            </w:pPr>
          </w:p>
        </w:tc>
        <w:tc>
          <w:tcPr>
            <w:tcW w:w="7621" w:type="dxa"/>
            <w:tcBorders>
              <w:top w:val="single" w:color="auto" w:sz="4" w:space="0"/>
              <w:left w:val="single" w:color="auto" w:sz="4" w:space="0"/>
              <w:bottom w:val="single" w:color="auto" w:sz="4" w:space="0"/>
              <w:right w:val="single" w:color="auto" w:sz="4" w:space="0"/>
            </w:tcBorders>
            <w:vAlign w:val="center"/>
          </w:tcPr>
          <w:p>
            <w:pPr>
              <w:numPr>
                <w:ilvl w:val="0"/>
                <w:numId w:val="5"/>
              </w:numPr>
              <w:tabs>
                <w:tab w:val="left" w:pos="720"/>
              </w:tabs>
              <w:snapToGrid w:val="0"/>
              <w:ind w:left="4" w:leftChars="2"/>
              <w:rPr>
                <w:rFonts w:ascii="宋体" w:hAnsi="宋体" w:cs="宋体"/>
                <w:color w:val="auto"/>
                <w:szCs w:val="21"/>
              </w:rPr>
            </w:pPr>
            <w:r>
              <w:rPr>
                <w:rFonts w:hint="eastAsia" w:ascii="宋体" w:hAnsi="宋体"/>
                <w:color w:val="auto"/>
                <w:szCs w:val="21"/>
              </w:rPr>
              <w:t>磋商保证金提交形式：</w:t>
            </w:r>
            <w:r>
              <w:rPr>
                <w:color w:val="auto"/>
                <w:szCs w:val="21"/>
              </w:rPr>
              <w:t>①</w:t>
            </w:r>
            <w:r>
              <w:rPr>
                <w:rFonts w:hint="eastAsia" w:ascii="宋体" w:hAnsi="宋体" w:cs="宋体"/>
                <w:color w:val="auto"/>
                <w:szCs w:val="21"/>
              </w:rPr>
              <w:t>银行转账；</w:t>
            </w:r>
            <w:r>
              <w:rPr>
                <w:color w:val="auto"/>
                <w:szCs w:val="21"/>
              </w:rPr>
              <w:t>②</w:t>
            </w:r>
            <w:r>
              <w:rPr>
                <w:rFonts w:hint="eastAsia" w:ascii="宋体" w:hAnsi="宋体" w:cs="宋体"/>
                <w:color w:val="auto"/>
                <w:szCs w:val="21"/>
              </w:rPr>
              <w:t>银行汇款</w:t>
            </w:r>
          </w:p>
          <w:p>
            <w:pPr>
              <w:numPr>
                <w:ilvl w:val="0"/>
                <w:numId w:val="5"/>
              </w:numPr>
              <w:tabs>
                <w:tab w:val="left" w:pos="720"/>
              </w:tabs>
              <w:snapToGrid w:val="0"/>
              <w:ind w:left="4" w:leftChars="2"/>
              <w:rPr>
                <w:rFonts w:ascii="宋体" w:hAnsi="宋体"/>
                <w:color w:val="auto"/>
                <w:szCs w:val="21"/>
              </w:rPr>
            </w:pPr>
            <w:r>
              <w:rPr>
                <w:rFonts w:hint="eastAsia" w:ascii="宋体" w:hAnsi="宋体" w:cs="宋体"/>
                <w:color w:val="auto"/>
                <w:szCs w:val="21"/>
              </w:rPr>
              <w:t>注明项目编号：【</w:t>
            </w:r>
            <w:r>
              <w:rPr>
                <w:rFonts w:hint="eastAsia" w:ascii="宋体" w:hAnsi="宋体"/>
                <w:b/>
                <w:bCs/>
                <w:color w:val="auto"/>
                <w:szCs w:val="21"/>
              </w:rPr>
              <w:t>XZ20200401】</w:t>
            </w:r>
          </w:p>
          <w:p>
            <w:pPr>
              <w:numPr>
                <w:ilvl w:val="0"/>
                <w:numId w:val="5"/>
              </w:numPr>
              <w:tabs>
                <w:tab w:val="left" w:pos="720"/>
              </w:tabs>
              <w:snapToGrid w:val="0"/>
              <w:ind w:left="4" w:leftChars="2"/>
              <w:rPr>
                <w:rFonts w:ascii="宋体" w:hAnsi="宋体"/>
                <w:color w:val="auto"/>
                <w:szCs w:val="21"/>
              </w:rPr>
            </w:pPr>
            <w:r>
              <w:rPr>
                <w:rFonts w:hint="eastAsia" w:ascii="宋体" w:hAnsi="宋体"/>
                <w:color w:val="auto"/>
                <w:szCs w:val="21"/>
              </w:rPr>
              <w:t>请各供应商将磋商保证金按</w:t>
            </w:r>
            <w:r>
              <w:rPr>
                <w:rFonts w:hint="eastAsia" w:ascii="宋体" w:hAnsi="宋体" w:cs="宋体"/>
                <w:color w:val="auto"/>
                <w:szCs w:val="21"/>
              </w:rPr>
              <w:t>磋商</w:t>
            </w:r>
            <w:r>
              <w:rPr>
                <w:rFonts w:hint="eastAsia" w:ascii="宋体" w:hAnsi="宋体"/>
                <w:color w:val="auto"/>
                <w:szCs w:val="21"/>
              </w:rPr>
              <w:t>文件要求一次性汇入以下账户，</w:t>
            </w:r>
            <w:r>
              <w:rPr>
                <w:rFonts w:hint="eastAsia" w:ascii="宋体" w:hAnsi="宋体"/>
                <w:b/>
                <w:color w:val="auto"/>
                <w:u w:val="single"/>
              </w:rPr>
              <w:t>因转账当天不一定能够达账，为避免因磋商保证金未达账而导致响应文件被拒绝，建议提前转账</w:t>
            </w:r>
            <w:r>
              <w:rPr>
                <w:rFonts w:hint="eastAsia" w:ascii="宋体" w:hAnsi="宋体"/>
                <w:color w:val="auto"/>
                <w:szCs w:val="21"/>
              </w:rPr>
              <w:t>。达账时间以银行到账时间为准：</w:t>
            </w:r>
          </w:p>
          <w:p>
            <w:pPr>
              <w:spacing w:line="400" w:lineRule="exact"/>
              <w:rPr>
                <w:rFonts w:ascii="宋体" w:hAnsi="宋体" w:cs="宋体"/>
                <w:color w:val="auto"/>
              </w:rPr>
            </w:pPr>
            <w:r>
              <w:rPr>
                <w:rFonts w:hint="eastAsia" w:hAnsi="宋体" w:cs="宋体"/>
                <w:bCs/>
                <w:color w:val="auto"/>
                <w:szCs w:val="21"/>
              </w:rPr>
              <w:t>开户行：</w:t>
            </w:r>
            <w:r>
              <w:rPr>
                <w:rFonts w:hint="eastAsia" w:ascii="宋体" w:hAnsi="宋体" w:cs="宋体"/>
                <w:color w:val="auto"/>
              </w:rPr>
              <w:t xml:space="preserve">广发银行佛山高明支行 </w:t>
            </w:r>
          </w:p>
          <w:p>
            <w:pPr>
              <w:spacing w:line="400" w:lineRule="exact"/>
              <w:rPr>
                <w:rFonts w:hAnsi="宋体" w:cs="宋体"/>
                <w:bCs/>
                <w:color w:val="auto"/>
                <w:szCs w:val="20"/>
              </w:rPr>
            </w:pPr>
            <w:r>
              <w:rPr>
                <w:rFonts w:hint="eastAsia" w:hAnsi="宋体" w:cs="宋体"/>
                <w:bCs/>
                <w:color w:val="auto"/>
                <w:szCs w:val="20"/>
              </w:rPr>
              <w:t>开户名：</w:t>
            </w:r>
            <w:r>
              <w:rPr>
                <w:rFonts w:hint="eastAsia" w:hAnsi="宋体" w:cs="宋体"/>
                <w:bCs/>
                <w:color w:val="auto"/>
                <w:szCs w:val="20"/>
                <w:lang w:val="zh-CN"/>
              </w:rPr>
              <w:t>广东熙泽企业管理有限公司</w:t>
            </w:r>
          </w:p>
          <w:p>
            <w:pPr>
              <w:spacing w:line="400" w:lineRule="exact"/>
              <w:rPr>
                <w:rFonts w:ascii="宋体" w:hAnsi="宋体" w:cs="宋体"/>
                <w:color w:val="auto"/>
              </w:rPr>
            </w:pPr>
            <w:r>
              <w:rPr>
                <w:rFonts w:hint="eastAsia" w:hAnsi="宋体" w:cs="宋体"/>
                <w:bCs/>
                <w:color w:val="auto"/>
                <w:szCs w:val="20"/>
              </w:rPr>
              <w:t>帐号：</w:t>
            </w:r>
            <w:r>
              <w:rPr>
                <w:rFonts w:hint="eastAsia" w:ascii="宋体" w:hAnsi="宋体" w:cs="宋体"/>
                <w:color w:val="auto"/>
              </w:rPr>
              <w:t>9550880218747500122</w:t>
            </w:r>
          </w:p>
          <w:p>
            <w:pPr>
              <w:spacing w:line="400" w:lineRule="exact"/>
              <w:rPr>
                <w:rFonts w:hAnsi="宋体" w:cs="宋体"/>
                <w:bCs/>
                <w:color w:val="auto"/>
                <w:szCs w:val="20"/>
              </w:rPr>
            </w:pPr>
            <w:r>
              <w:rPr>
                <w:rFonts w:hint="eastAsia" w:hAnsi="宋体" w:cs="宋体"/>
                <w:bCs/>
                <w:color w:val="auto"/>
                <w:szCs w:val="20"/>
              </w:rPr>
              <w:t xml:space="preserve">保证金相关事宜联系人：伍小姐     </w:t>
            </w:r>
          </w:p>
          <w:p>
            <w:pPr>
              <w:spacing w:line="400" w:lineRule="exact"/>
              <w:rPr>
                <w:rFonts w:hAnsi="宋体" w:cs="宋体"/>
                <w:bCs/>
                <w:color w:val="auto"/>
                <w:szCs w:val="20"/>
              </w:rPr>
            </w:pPr>
            <w:r>
              <w:rPr>
                <w:rFonts w:hint="eastAsia" w:hAnsi="宋体" w:cs="宋体"/>
                <w:bCs/>
                <w:color w:val="auto"/>
                <w:szCs w:val="20"/>
              </w:rPr>
              <w:t>联系电话：0757-88631138</w:t>
            </w:r>
          </w:p>
          <w:p>
            <w:pPr>
              <w:numPr>
                <w:ilvl w:val="0"/>
                <w:numId w:val="5"/>
              </w:numPr>
              <w:spacing w:line="300" w:lineRule="exact"/>
              <w:rPr>
                <w:rFonts w:ascii="宋体" w:hAnsi="宋体" w:cstheme="minorBidi"/>
                <w:color w:val="auto"/>
                <w:szCs w:val="21"/>
              </w:rPr>
            </w:pPr>
            <w:r>
              <w:rPr>
                <w:rFonts w:hint="eastAsia" w:ascii="宋体" w:hAnsi="宋体" w:cstheme="minorBidi"/>
                <w:color w:val="auto"/>
                <w:szCs w:val="21"/>
              </w:rPr>
              <w:t>投标人须凭银行转账或汇款凭证的原件或者复印件递交投标文件，</w:t>
            </w:r>
            <w:r>
              <w:rPr>
                <w:rFonts w:ascii="宋体" w:hAnsi="宋体" w:cstheme="minorBidi"/>
                <w:color w:val="auto"/>
                <w:szCs w:val="21"/>
              </w:rPr>
              <w:t>否则</w:t>
            </w:r>
            <w:r>
              <w:rPr>
                <w:rFonts w:hint="eastAsia" w:ascii="宋体" w:hAnsi="宋体" w:cstheme="minorBidi"/>
                <w:color w:val="auto"/>
                <w:szCs w:val="21"/>
              </w:rPr>
              <w:t>其</w:t>
            </w:r>
            <w:r>
              <w:rPr>
                <w:rFonts w:ascii="宋体" w:hAnsi="宋体" w:cstheme="minorBidi"/>
                <w:color w:val="auto"/>
                <w:szCs w:val="21"/>
              </w:rPr>
              <w:t>投标</w:t>
            </w:r>
            <w:r>
              <w:rPr>
                <w:rFonts w:hint="eastAsia" w:ascii="宋体" w:hAnsi="宋体" w:cstheme="minorBidi"/>
                <w:color w:val="auto"/>
                <w:szCs w:val="21"/>
              </w:rPr>
              <w:t>将被拒绝。</w:t>
            </w:r>
          </w:p>
          <w:p>
            <w:pPr>
              <w:numPr>
                <w:ilvl w:val="0"/>
                <w:numId w:val="5"/>
              </w:numPr>
              <w:spacing w:line="300" w:lineRule="exact"/>
              <w:rPr>
                <w:rFonts w:ascii="宋体" w:hAnsi="宋体"/>
                <w:color w:val="auto"/>
                <w:szCs w:val="21"/>
              </w:rPr>
            </w:pPr>
            <w:r>
              <w:rPr>
                <w:rFonts w:hint="eastAsia" w:ascii="宋体" w:hAnsi="宋体"/>
                <w:b/>
                <w:color w:val="auto"/>
                <w:szCs w:val="21"/>
              </w:rPr>
              <w:t>磋商</w:t>
            </w:r>
            <w:r>
              <w:rPr>
                <w:rFonts w:ascii="宋体" w:hAnsi="宋体"/>
                <w:b/>
                <w:color w:val="auto"/>
                <w:szCs w:val="21"/>
              </w:rPr>
              <w:t>保证金退还时，</w:t>
            </w:r>
            <w:r>
              <w:rPr>
                <w:rFonts w:hint="eastAsia" w:ascii="宋体" w:hAnsi="宋体"/>
                <w:b/>
                <w:color w:val="auto"/>
                <w:szCs w:val="21"/>
              </w:rPr>
              <w:t>报价</w:t>
            </w:r>
            <w:r>
              <w:rPr>
                <w:rFonts w:ascii="宋体" w:hAnsi="宋体"/>
                <w:b/>
                <w:color w:val="auto"/>
                <w:szCs w:val="21"/>
              </w:rPr>
              <w:t>供应商必须提供</w:t>
            </w:r>
            <w:r>
              <w:rPr>
                <w:rFonts w:hint="eastAsia" w:hAnsi="宋体"/>
                <w:b/>
                <w:color w:val="auto"/>
                <w:szCs w:val="21"/>
              </w:rPr>
              <w:t>保证金退还说明</w:t>
            </w:r>
            <w:r>
              <w:rPr>
                <w:rFonts w:ascii="宋体" w:hAnsi="宋体"/>
                <w:color w:val="auto"/>
              </w:rPr>
              <w:t>（见响应文件格式）</w:t>
            </w:r>
            <w:r>
              <w:rPr>
                <w:rFonts w:hint="eastAsia" w:ascii="宋体" w:hAnsi="宋体"/>
                <w:color w:val="auto"/>
              </w:rPr>
              <w:t>,磋商</w:t>
            </w:r>
            <w:r>
              <w:rPr>
                <w:rFonts w:ascii="宋体" w:hAnsi="宋体"/>
                <w:color w:val="auto"/>
              </w:rPr>
              <w:t>保证金只能以银行转帐方式退还到</w:t>
            </w:r>
            <w:r>
              <w:rPr>
                <w:rFonts w:hint="eastAsia" w:ascii="宋体" w:hAnsi="宋体"/>
                <w:color w:val="auto"/>
              </w:rPr>
              <w:t>报价</w:t>
            </w:r>
            <w:r>
              <w:rPr>
                <w:rFonts w:ascii="宋体" w:hAnsi="宋体"/>
                <w:color w:val="auto"/>
              </w:rPr>
              <w:t>供应商提交保证金时的银行帐户。</w:t>
            </w:r>
          </w:p>
          <w:p>
            <w:pPr>
              <w:numPr>
                <w:ilvl w:val="0"/>
                <w:numId w:val="5"/>
              </w:numPr>
              <w:adjustRightInd w:val="0"/>
              <w:snapToGrid w:val="0"/>
              <w:spacing w:line="440" w:lineRule="exact"/>
              <w:ind w:left="4" w:leftChars="2"/>
              <w:rPr>
                <w:color w:val="auto"/>
              </w:rPr>
            </w:pPr>
            <w:r>
              <w:rPr>
                <w:rFonts w:ascii="宋体" w:hAnsi="宋体"/>
                <w:color w:val="auto"/>
              </w:rPr>
              <w:t>有效期磋商保证金应在</w:t>
            </w:r>
            <w:r>
              <w:rPr>
                <w:rFonts w:hint="eastAsia" w:ascii="宋体" w:hAnsi="宋体"/>
                <w:color w:val="auto"/>
              </w:rPr>
              <w:t>磋商</w:t>
            </w:r>
            <w:r>
              <w:rPr>
                <w:rFonts w:ascii="宋体" w:hAnsi="宋体"/>
                <w:color w:val="auto"/>
              </w:rPr>
              <w:t>有效期内有效。</w:t>
            </w:r>
          </w:p>
          <w:p>
            <w:pPr>
              <w:adjustRightInd w:val="0"/>
              <w:snapToGrid w:val="0"/>
              <w:spacing w:line="440" w:lineRule="exact"/>
              <w:rPr>
                <w:rFonts w:ascii="Tahoma" w:hAnsi="Tahoma"/>
                <w:color w:val="auto"/>
                <w:szCs w:val="21"/>
              </w:rPr>
            </w:pPr>
            <w:r>
              <w:rPr>
                <w:rFonts w:ascii="宋体" w:hAnsi="宋体"/>
                <w:b/>
                <w:color w:val="auto"/>
              </w:rPr>
              <w:t>提示：周六、周日的银行一般不办理对公业务，请注意提前办理支付，以免逾期。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06" w:type="dxa"/>
            <w:vMerge w:val="restart"/>
            <w:tcBorders>
              <w:top w:val="single" w:color="auto" w:sz="4" w:space="0"/>
              <w:left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vMerge w:val="restart"/>
            <w:tcBorders>
              <w:top w:val="single" w:color="auto" w:sz="4" w:space="0"/>
              <w:left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响应文件份数</w:t>
            </w:r>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ind w:left="4" w:leftChars="2"/>
              <w:rPr>
                <w:rFonts w:ascii="宋体" w:hAnsi="宋体"/>
                <w:color w:val="auto"/>
                <w:szCs w:val="21"/>
              </w:rPr>
            </w:pPr>
            <w:r>
              <w:rPr>
                <w:rFonts w:hint="eastAsia" w:ascii="宋体" w:hAnsi="宋体"/>
                <w:color w:val="auto"/>
                <w:szCs w:val="21"/>
              </w:rPr>
              <w:t>正本壹份、副本叁份和不作任何加密的电子标书壹份。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06" w:type="dxa"/>
            <w:vMerge w:val="continue"/>
            <w:tcBorders>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vMerge w:val="continue"/>
            <w:tcBorders>
              <w:left w:val="single" w:color="auto" w:sz="4" w:space="0"/>
              <w:bottom w:val="single" w:color="auto" w:sz="4" w:space="0"/>
              <w:right w:val="single" w:color="auto" w:sz="4" w:space="0"/>
            </w:tcBorders>
            <w:vAlign w:val="center"/>
          </w:tcPr>
          <w:p>
            <w:pPr>
              <w:jc w:val="center"/>
              <w:rPr>
                <w:rFonts w:ascii="宋体" w:hAnsi="宋体"/>
                <w:color w:val="auto"/>
                <w:szCs w:val="21"/>
              </w:rPr>
            </w:pPr>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ind w:left="4" w:leftChars="2"/>
              <w:rPr>
                <w:rFonts w:ascii="宋体" w:hAnsi="宋体"/>
                <w:color w:val="auto"/>
                <w:szCs w:val="21"/>
              </w:rPr>
            </w:pPr>
            <w:r>
              <w:rPr>
                <w:rFonts w:hint="eastAsia" w:ascii="宋体" w:hAnsi="宋体"/>
                <w:color w:val="auto"/>
                <w:szCs w:val="21"/>
              </w:rPr>
              <w:t>正本和电子标书一起封装，副本一起封装，在每一封口处加盖公章，并在封套标明项目名称、项目编号、供应商名称及“正本</w:t>
            </w:r>
            <w:r>
              <w:rPr>
                <w:rFonts w:ascii="宋体" w:hAnsi="宋体"/>
                <w:color w:val="auto"/>
                <w:szCs w:val="21"/>
              </w:rPr>
              <w:t>”</w:t>
            </w:r>
            <w:r>
              <w:rPr>
                <w:rFonts w:hint="eastAsia" w:ascii="宋体" w:hAnsi="宋体"/>
                <w:color w:val="auto"/>
                <w:szCs w:val="21"/>
              </w:rPr>
              <w:t>、“副本”等字样。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06" w:type="dxa"/>
            <w:tcBorders>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left w:val="single" w:color="auto" w:sz="4" w:space="0"/>
              <w:bottom w:val="single" w:color="auto" w:sz="4" w:space="0"/>
              <w:right w:val="single" w:color="auto" w:sz="4" w:space="0"/>
            </w:tcBorders>
            <w:vAlign w:val="center"/>
          </w:tcPr>
          <w:p>
            <w:pPr>
              <w:spacing w:line="300" w:lineRule="exact"/>
              <w:jc w:val="center"/>
              <w:rPr>
                <w:rFonts w:ascii="宋体" w:hAnsi="宋体"/>
                <w:color w:val="auto"/>
                <w:szCs w:val="21"/>
              </w:rPr>
            </w:pPr>
            <w:r>
              <w:rPr>
                <w:rFonts w:hint="eastAsia" w:ascii="宋体" w:hAnsi="宋体"/>
                <w:color w:val="auto"/>
                <w:szCs w:val="21"/>
              </w:rPr>
              <w:t>演示与述标</w:t>
            </w:r>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spacing w:line="300" w:lineRule="exact"/>
              <w:ind w:left="4" w:leftChars="2"/>
              <w:rPr>
                <w:rFonts w:ascii="宋体" w:hAnsi="宋体"/>
                <w:color w:val="auto"/>
                <w:szCs w:val="21"/>
              </w:rPr>
            </w:pPr>
            <w:r>
              <w:rPr>
                <w:rFonts w:hint="eastAsia" w:ascii="宋体" w:hAnsi="宋体"/>
                <w:color w:val="auto"/>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widowControl/>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Cs w:val="21"/>
              </w:rPr>
            </w:pPr>
            <w:r>
              <w:rPr>
                <w:rFonts w:hint="eastAsia" w:ascii="宋体" w:hAnsi="宋体"/>
                <w:color w:val="auto"/>
                <w:szCs w:val="21"/>
              </w:rPr>
              <w:t>样品要求</w:t>
            </w:r>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720"/>
              </w:tabs>
              <w:snapToGrid w:val="0"/>
              <w:ind w:left="4" w:leftChars="2"/>
              <w:rPr>
                <w:rFonts w:ascii="宋体" w:hAnsi="宋体"/>
                <w:color w:val="auto"/>
                <w:szCs w:val="21"/>
              </w:rPr>
            </w:pPr>
            <w:r>
              <w:rPr>
                <w:rFonts w:hint="eastAsia" w:ascii="宋体" w:hAnsi="宋体"/>
                <w:color w:val="auto"/>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磋商小组组成</w:t>
            </w:r>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rPr>
                <w:rFonts w:ascii="宋体" w:hAnsi="宋体"/>
                <w:color w:val="auto"/>
                <w:szCs w:val="21"/>
              </w:rPr>
            </w:pPr>
            <w:r>
              <w:rPr>
                <w:rFonts w:hint="eastAsia" w:ascii="宋体"/>
                <w:color w:val="auto"/>
              </w:rPr>
              <w:t>本项目评审工作由依法组建的磋商小组负责完成，磋商小组由3人组成。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评审方法</w:t>
            </w:r>
          </w:p>
        </w:tc>
        <w:tc>
          <w:tcPr>
            <w:tcW w:w="762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rPr>
            </w:pPr>
            <w:r>
              <w:rPr>
                <w:rFonts w:hint="eastAsia" w:ascii="宋体" w:hAnsi="宋体"/>
                <w:color w:val="auto"/>
                <w:szCs w:val="21"/>
              </w:rPr>
              <w:t>经磋商确定最终采购需求和提交最后报价的供应商后，由磋商小组采用综合评分法对提交最后报价的供应商的响应文件和最后报价进行综合评分。</w:t>
            </w:r>
          </w:p>
          <w:p>
            <w:pPr>
              <w:rPr>
                <w:rFonts w:ascii="宋体" w:hAnsi="宋体"/>
                <w:color w:val="auto"/>
                <w:szCs w:val="21"/>
              </w:rPr>
            </w:pPr>
            <w:r>
              <w:rPr>
                <w:rFonts w:hint="eastAsia" w:ascii="宋体" w:hAnsi="宋体"/>
                <w:color w:val="auto"/>
                <w:szCs w:val="21"/>
              </w:rPr>
              <w:t>综合评分法，是指响应文件满足磋商文件全部实质性要求且按评审因素的量化指标评审得分最高的供应商为成交候选供应商的评审方法。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4"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bCs/>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r>
              <w:rPr>
                <w:rFonts w:hint="eastAsia" w:ascii="宋体" w:hAnsi="宋体"/>
                <w:bCs/>
                <w:color w:val="auto"/>
                <w:szCs w:val="21"/>
              </w:rPr>
              <w:t>成交候选人的推荐</w:t>
            </w:r>
          </w:p>
        </w:tc>
        <w:tc>
          <w:tcPr>
            <w:tcW w:w="76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96"/>
              <w:ind w:right="140"/>
              <w:rPr>
                <w:rFonts w:ascii="宋体" w:hAnsi="宋体"/>
                <w:bCs/>
                <w:color w:val="auto"/>
                <w:szCs w:val="21"/>
              </w:rPr>
            </w:pPr>
            <w:r>
              <w:rPr>
                <w:rFonts w:hint="eastAsia" w:ascii="宋体" w:hAnsi="宋体"/>
                <w:color w:val="auto"/>
                <w:szCs w:val="21"/>
              </w:rPr>
              <w:t>磋商小组根据综合评分情况，</w:t>
            </w:r>
            <w:r>
              <w:rPr>
                <w:rFonts w:hint="eastAsia" w:ascii="宋体" w:hAnsi="宋体"/>
                <w:bCs/>
                <w:color w:val="auto"/>
                <w:szCs w:val="21"/>
              </w:rPr>
              <w:t>编写书面的评审报告，按综合得分高低次序排出名次，并推荐综合得分排名第一的供应商为第一成交候选人。</w:t>
            </w:r>
          </w:p>
          <w:p>
            <w:pPr>
              <w:autoSpaceDE w:val="0"/>
              <w:autoSpaceDN w:val="0"/>
              <w:adjustRightInd w:val="0"/>
              <w:spacing w:before="96"/>
              <w:ind w:right="140"/>
              <w:rPr>
                <w:rFonts w:ascii="仿宋" w:eastAsia="仿宋" w:cs="仿宋"/>
                <w:color w:val="auto"/>
                <w:spacing w:val="1"/>
                <w:kern w:val="0"/>
                <w:sz w:val="24"/>
              </w:rPr>
            </w:pPr>
            <w:r>
              <w:rPr>
                <w:rFonts w:hint="eastAsia" w:ascii="宋体" w:hAnsi="宋体"/>
                <w:bCs/>
                <w:color w:val="auto"/>
                <w:szCs w:val="21"/>
              </w:rPr>
              <w:t>综合</w:t>
            </w:r>
            <w:r>
              <w:rPr>
                <w:rFonts w:hint="eastAsia" w:ascii="宋体" w:hAnsi="宋体"/>
                <w:color w:val="auto"/>
                <w:szCs w:val="21"/>
              </w:rPr>
              <w:t>得分相同的，按照最后报价由低到高的顺序推荐。</w:t>
            </w:r>
            <w:r>
              <w:rPr>
                <w:rFonts w:hint="eastAsia" w:ascii="宋体" w:hAnsi="宋体"/>
                <w:bCs/>
                <w:color w:val="auto"/>
                <w:szCs w:val="21"/>
              </w:rPr>
              <w:t>综合得分</w:t>
            </w:r>
            <w:r>
              <w:rPr>
                <w:rFonts w:hint="eastAsia" w:ascii="宋体" w:hAnsi="宋体"/>
                <w:color w:val="auto"/>
                <w:szCs w:val="21"/>
              </w:rPr>
              <w:t>且最后报价相同的，按照技术指标优劣顺序推荐。</w:t>
            </w:r>
            <w:r>
              <w:rPr>
                <w:rFonts w:hint="eastAsia" w:ascii="宋体" w:hAnsi="宋体"/>
                <w:bCs/>
                <w:color w:val="auto"/>
                <w:szCs w:val="21"/>
              </w:rPr>
              <w:t>综合得分相同、评审价和技术评分均相同的，名次由磋商小组抽签确定。法律法规有明确规定的，以法律法规规定为准。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3" w:hRule="atLeast"/>
          <w:jc w:val="center"/>
        </w:trPr>
        <w:tc>
          <w:tcPr>
            <w:tcW w:w="906" w:type="dxa"/>
            <w:tcBorders>
              <w:top w:val="single" w:color="auto" w:sz="4" w:space="0"/>
              <w:left w:val="single" w:color="auto" w:sz="4" w:space="0"/>
              <w:right w:val="single" w:color="auto" w:sz="4" w:space="0"/>
            </w:tcBorders>
            <w:vAlign w:val="center"/>
          </w:tcPr>
          <w:p>
            <w:pPr>
              <w:pStyle w:val="17"/>
              <w:numPr>
                <w:ilvl w:val="0"/>
                <w:numId w:val="4"/>
              </w:numPr>
              <w:adjustRightInd w:val="0"/>
              <w:snapToGrid w:val="0"/>
              <w:spacing w:line="240" w:lineRule="auto"/>
              <w:jc w:val="center"/>
              <w:rPr>
                <w:rFonts w:hAnsi="宋体"/>
                <w:color w:val="auto"/>
                <w:sz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240" w:lineRule="auto"/>
              <w:jc w:val="center"/>
              <w:rPr>
                <w:rFonts w:hAnsi="宋体"/>
                <w:color w:val="auto"/>
                <w:sz w:val="21"/>
              </w:rPr>
            </w:pPr>
            <w:r>
              <w:rPr>
                <w:rFonts w:hint="eastAsia" w:hAnsi="宋体"/>
                <w:color w:val="auto"/>
                <w:sz w:val="21"/>
              </w:rPr>
              <w:t>招标代理服务费</w:t>
            </w:r>
          </w:p>
        </w:tc>
        <w:tc>
          <w:tcPr>
            <w:tcW w:w="7621" w:type="dxa"/>
            <w:tcBorders>
              <w:top w:val="single" w:color="auto" w:sz="4" w:space="0"/>
              <w:left w:val="single" w:color="auto" w:sz="4" w:space="0"/>
              <w:right w:val="single" w:color="auto" w:sz="4" w:space="0"/>
            </w:tcBorders>
            <w:vAlign w:val="center"/>
          </w:tcPr>
          <w:p>
            <w:pPr>
              <w:autoSpaceDE w:val="0"/>
              <w:autoSpaceDN w:val="0"/>
              <w:adjustRightInd w:val="0"/>
              <w:spacing w:before="96"/>
              <w:ind w:right="140"/>
              <w:rPr>
                <w:rFonts w:ascii="宋体" w:hAnsi="宋体"/>
                <w:color w:val="auto"/>
                <w:szCs w:val="21"/>
              </w:rPr>
            </w:pPr>
            <w:r>
              <w:rPr>
                <w:rFonts w:hint="eastAsia" w:hAnsi="宋体"/>
                <w:color w:val="auto"/>
              </w:rPr>
              <w:t>（</w:t>
            </w:r>
            <w:r>
              <w:rPr>
                <w:rFonts w:hint="eastAsia" w:ascii="宋体" w:hAnsi="宋体"/>
                <w:color w:val="auto"/>
                <w:szCs w:val="21"/>
              </w:rPr>
              <w:t>1）本项目招标代理服务费由中标人在领取《中标通知书》原件时向采购代理机构一次性支付。</w:t>
            </w:r>
          </w:p>
          <w:p>
            <w:pPr>
              <w:autoSpaceDE w:val="0"/>
              <w:autoSpaceDN w:val="0"/>
              <w:adjustRightInd w:val="0"/>
              <w:spacing w:before="96"/>
              <w:ind w:right="140"/>
              <w:rPr>
                <w:rFonts w:ascii="宋体" w:hAnsi="宋体"/>
                <w:color w:val="auto"/>
                <w:szCs w:val="21"/>
              </w:rPr>
            </w:pPr>
            <w:r>
              <w:rPr>
                <w:rFonts w:hint="eastAsia" w:ascii="宋体" w:hAnsi="宋体"/>
                <w:color w:val="auto"/>
                <w:szCs w:val="21"/>
              </w:rPr>
              <w:t>（2）根据国家发展改革委办公厅颁布的《关于招标代理服务收费有关问题的通知》（发改办价格【2003】857号）及参照国家计委颁布的《招标代理服务收费管理暂行办法》（计价格【2011】534号）文件规定，本项目招标代理服务费按下表“服务类”基准费率收取（详见下表）。</w:t>
            </w:r>
          </w:p>
          <w:tbl>
            <w:tblPr>
              <w:tblStyle w:val="37"/>
              <w:tblpPr w:leftFromText="180" w:rightFromText="180" w:vertAnchor="text" w:horzAnchor="page" w:tblpX="242" w:tblpY="126"/>
              <w:tblOverlap w:val="never"/>
              <w:tblW w:w="70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86"/>
              <w:gridCol w:w="1442"/>
              <w:gridCol w:w="1441"/>
              <w:gridCol w:w="1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9" w:hRule="atLeast"/>
              </w:trPr>
              <w:tc>
                <w:tcPr>
                  <w:tcW w:w="2786" w:type="dxa"/>
                  <w:tcBorders>
                    <w:tl2br w:val="single" w:color="auto" w:sz="4" w:space="0"/>
                  </w:tcBorders>
                </w:tcPr>
                <w:p>
                  <w:pPr>
                    <w:autoSpaceDE w:val="0"/>
                    <w:autoSpaceDN w:val="0"/>
                    <w:adjustRightInd w:val="0"/>
                    <w:spacing w:before="96"/>
                    <w:ind w:right="140"/>
                    <w:rPr>
                      <w:rFonts w:ascii="宋体" w:hAnsi="宋体"/>
                      <w:color w:val="auto"/>
                      <w:szCs w:val="21"/>
                    </w:rPr>
                  </w:pPr>
                  <w:r>
                    <w:rPr>
                      <w:rFonts w:hint="eastAsia" w:ascii="宋体" w:hAnsi="宋体"/>
                      <w:color w:val="auto"/>
                      <w:szCs w:val="21"/>
                    </w:rPr>
                    <w:t xml:space="preserve">              费率类型</w:t>
                  </w:r>
                </w:p>
                <w:p>
                  <w:pPr>
                    <w:autoSpaceDE w:val="0"/>
                    <w:autoSpaceDN w:val="0"/>
                    <w:adjustRightInd w:val="0"/>
                    <w:spacing w:before="96"/>
                    <w:ind w:right="140"/>
                    <w:rPr>
                      <w:rFonts w:ascii="宋体" w:hAnsi="宋体"/>
                      <w:color w:val="auto"/>
                      <w:szCs w:val="21"/>
                    </w:rPr>
                  </w:pPr>
                  <w:r>
                    <w:rPr>
                      <w:rFonts w:hint="eastAsia" w:ascii="宋体" w:hAnsi="宋体"/>
                      <w:color w:val="auto"/>
                      <w:szCs w:val="21"/>
                    </w:rPr>
                    <w:t>中标金额(万元)</w:t>
                  </w:r>
                </w:p>
              </w:tc>
              <w:tc>
                <w:tcPr>
                  <w:tcW w:w="1442" w:type="dxa"/>
                  <w:tcBorders>
                    <w:bottom w:val="single" w:color="auto" w:sz="4" w:space="0"/>
                  </w:tcBorders>
                  <w:vAlign w:val="center"/>
                </w:tcPr>
                <w:p>
                  <w:pPr>
                    <w:autoSpaceDE w:val="0"/>
                    <w:autoSpaceDN w:val="0"/>
                    <w:adjustRightInd w:val="0"/>
                    <w:spacing w:before="96"/>
                    <w:ind w:right="140"/>
                    <w:rPr>
                      <w:rFonts w:ascii="宋体" w:hAnsi="宋体"/>
                      <w:color w:val="auto"/>
                      <w:szCs w:val="21"/>
                    </w:rPr>
                  </w:pPr>
                  <w:r>
                    <w:rPr>
                      <w:rFonts w:hint="eastAsia" w:ascii="宋体" w:hAnsi="宋体"/>
                      <w:color w:val="auto"/>
                      <w:szCs w:val="21"/>
                    </w:rPr>
                    <w:t>货物招标</w:t>
                  </w:r>
                </w:p>
              </w:tc>
              <w:tc>
                <w:tcPr>
                  <w:tcW w:w="1441" w:type="dxa"/>
                  <w:tcBorders>
                    <w:top w:val="single" w:color="auto" w:sz="4" w:space="0"/>
                    <w:bottom w:val="single" w:color="auto" w:sz="4" w:space="0"/>
                    <w:right w:val="single" w:color="auto" w:sz="4" w:space="0"/>
                  </w:tcBorders>
                  <w:vAlign w:val="center"/>
                </w:tcPr>
                <w:p>
                  <w:pPr>
                    <w:autoSpaceDE w:val="0"/>
                    <w:autoSpaceDN w:val="0"/>
                    <w:adjustRightInd w:val="0"/>
                    <w:spacing w:before="96"/>
                    <w:ind w:right="140"/>
                    <w:rPr>
                      <w:rFonts w:ascii="宋体" w:hAnsi="宋体"/>
                      <w:color w:val="auto"/>
                      <w:szCs w:val="21"/>
                    </w:rPr>
                  </w:pPr>
                  <w:r>
                    <w:rPr>
                      <w:rFonts w:hint="eastAsia" w:ascii="宋体" w:hAnsi="宋体"/>
                      <w:color w:val="auto"/>
                      <w:szCs w:val="21"/>
                    </w:rPr>
                    <w:t>服务招标</w:t>
                  </w:r>
                </w:p>
              </w:tc>
              <w:tc>
                <w:tcPr>
                  <w:tcW w:w="1408" w:type="dxa"/>
                  <w:tcBorders>
                    <w:top w:val="single" w:color="auto" w:sz="4" w:space="0"/>
                    <w:bottom w:val="single" w:color="auto" w:sz="4" w:space="0"/>
                    <w:right w:val="single" w:color="auto" w:sz="4" w:space="0"/>
                  </w:tcBorders>
                  <w:vAlign w:val="center"/>
                </w:tcPr>
                <w:p>
                  <w:pPr>
                    <w:autoSpaceDE w:val="0"/>
                    <w:autoSpaceDN w:val="0"/>
                    <w:adjustRightInd w:val="0"/>
                    <w:spacing w:before="96"/>
                    <w:ind w:right="140"/>
                    <w:rPr>
                      <w:rFonts w:ascii="宋体" w:hAnsi="宋体"/>
                      <w:color w:val="auto"/>
                      <w:szCs w:val="21"/>
                    </w:rPr>
                  </w:pPr>
                  <w:r>
                    <w:rPr>
                      <w:rFonts w:hint="eastAsia" w:ascii="宋体" w:hAnsi="宋体"/>
                      <w:color w:val="auto"/>
                      <w:szCs w:val="21"/>
                    </w:rPr>
                    <w:t>工程招标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9" w:hRule="atLeast"/>
              </w:trPr>
              <w:tc>
                <w:tcPr>
                  <w:tcW w:w="2786" w:type="dxa"/>
                </w:tcPr>
                <w:p>
                  <w:pPr>
                    <w:autoSpaceDE w:val="0"/>
                    <w:autoSpaceDN w:val="0"/>
                    <w:adjustRightInd w:val="0"/>
                    <w:spacing w:before="96"/>
                    <w:ind w:right="140"/>
                    <w:rPr>
                      <w:rFonts w:ascii="宋体" w:hAnsi="宋体"/>
                      <w:color w:val="auto"/>
                      <w:szCs w:val="21"/>
                    </w:rPr>
                  </w:pPr>
                  <w:r>
                    <w:rPr>
                      <w:rFonts w:hint="eastAsia" w:ascii="宋体" w:hAnsi="宋体"/>
                      <w:color w:val="auto"/>
                      <w:szCs w:val="21"/>
                    </w:rPr>
                    <w:t>100以下</w:t>
                  </w:r>
                </w:p>
              </w:tc>
              <w:tc>
                <w:tcPr>
                  <w:tcW w:w="1442" w:type="dxa"/>
                </w:tcPr>
                <w:p>
                  <w:pPr>
                    <w:autoSpaceDE w:val="0"/>
                    <w:autoSpaceDN w:val="0"/>
                    <w:adjustRightInd w:val="0"/>
                    <w:spacing w:before="96"/>
                    <w:ind w:right="140"/>
                    <w:rPr>
                      <w:rFonts w:ascii="宋体" w:hAnsi="宋体"/>
                      <w:color w:val="auto"/>
                      <w:szCs w:val="21"/>
                    </w:rPr>
                  </w:pPr>
                  <w:r>
                    <w:rPr>
                      <w:rFonts w:hint="eastAsia" w:ascii="宋体" w:hAnsi="宋体"/>
                      <w:color w:val="auto"/>
                      <w:szCs w:val="21"/>
                    </w:rPr>
                    <w:t>1.5%</w:t>
                  </w:r>
                </w:p>
              </w:tc>
              <w:tc>
                <w:tcPr>
                  <w:tcW w:w="1441" w:type="dxa"/>
                  <w:tcBorders>
                    <w:top w:val="single" w:color="auto" w:sz="4" w:space="0"/>
                    <w:bottom w:val="single" w:color="auto" w:sz="4" w:space="0"/>
                    <w:right w:val="single" w:color="auto" w:sz="4" w:space="0"/>
                  </w:tcBorders>
                </w:tcPr>
                <w:p>
                  <w:pPr>
                    <w:autoSpaceDE w:val="0"/>
                    <w:autoSpaceDN w:val="0"/>
                    <w:adjustRightInd w:val="0"/>
                    <w:spacing w:before="96"/>
                    <w:ind w:right="140"/>
                    <w:rPr>
                      <w:rFonts w:ascii="宋体" w:hAnsi="宋体"/>
                      <w:color w:val="auto"/>
                      <w:szCs w:val="21"/>
                    </w:rPr>
                  </w:pPr>
                  <w:r>
                    <w:rPr>
                      <w:rFonts w:hint="eastAsia" w:ascii="宋体" w:hAnsi="宋体"/>
                      <w:color w:val="auto"/>
                      <w:szCs w:val="21"/>
                    </w:rPr>
                    <w:t>1.5%</w:t>
                  </w:r>
                </w:p>
              </w:tc>
              <w:tc>
                <w:tcPr>
                  <w:tcW w:w="1408" w:type="dxa"/>
                  <w:tcBorders>
                    <w:top w:val="single" w:color="auto" w:sz="4" w:space="0"/>
                    <w:bottom w:val="single" w:color="auto" w:sz="4" w:space="0"/>
                    <w:right w:val="single" w:color="auto" w:sz="4" w:space="0"/>
                  </w:tcBorders>
                </w:tcPr>
                <w:p>
                  <w:pPr>
                    <w:autoSpaceDE w:val="0"/>
                    <w:autoSpaceDN w:val="0"/>
                    <w:adjustRightInd w:val="0"/>
                    <w:spacing w:before="96"/>
                    <w:ind w:right="140"/>
                    <w:rPr>
                      <w:rFonts w:ascii="宋体" w:hAnsi="宋体"/>
                      <w:color w:val="auto"/>
                      <w:szCs w:val="21"/>
                    </w:rPr>
                  </w:pPr>
                  <w:r>
                    <w:rPr>
                      <w:rFonts w:hint="eastAsia" w:ascii="宋体" w:hAnsi="宋体"/>
                      <w:color w:val="auto"/>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8" w:hRule="atLeast"/>
              </w:trPr>
              <w:tc>
                <w:tcPr>
                  <w:tcW w:w="2786" w:type="dxa"/>
                </w:tcPr>
                <w:p>
                  <w:pPr>
                    <w:autoSpaceDE w:val="0"/>
                    <w:autoSpaceDN w:val="0"/>
                    <w:adjustRightInd w:val="0"/>
                    <w:spacing w:before="96"/>
                    <w:ind w:right="140"/>
                    <w:rPr>
                      <w:rFonts w:ascii="宋体" w:hAnsi="宋体"/>
                      <w:color w:val="auto"/>
                      <w:szCs w:val="21"/>
                    </w:rPr>
                  </w:pPr>
                  <w:r>
                    <w:rPr>
                      <w:rFonts w:hint="eastAsia" w:ascii="宋体" w:hAnsi="宋体"/>
                      <w:color w:val="auto"/>
                      <w:szCs w:val="21"/>
                    </w:rPr>
                    <w:t>100-500</w:t>
                  </w:r>
                </w:p>
              </w:tc>
              <w:tc>
                <w:tcPr>
                  <w:tcW w:w="1442" w:type="dxa"/>
                </w:tcPr>
                <w:p>
                  <w:pPr>
                    <w:autoSpaceDE w:val="0"/>
                    <w:autoSpaceDN w:val="0"/>
                    <w:adjustRightInd w:val="0"/>
                    <w:spacing w:before="96"/>
                    <w:ind w:right="140"/>
                    <w:rPr>
                      <w:rFonts w:ascii="宋体" w:hAnsi="宋体"/>
                      <w:color w:val="auto"/>
                      <w:szCs w:val="21"/>
                    </w:rPr>
                  </w:pPr>
                  <w:r>
                    <w:rPr>
                      <w:rFonts w:hint="eastAsia" w:ascii="宋体" w:hAnsi="宋体"/>
                      <w:color w:val="auto"/>
                      <w:szCs w:val="21"/>
                    </w:rPr>
                    <w:t>1.1%</w:t>
                  </w:r>
                </w:p>
              </w:tc>
              <w:tc>
                <w:tcPr>
                  <w:tcW w:w="1441" w:type="dxa"/>
                  <w:tcBorders>
                    <w:top w:val="single" w:color="auto" w:sz="4" w:space="0"/>
                    <w:bottom w:val="single" w:color="auto" w:sz="4" w:space="0"/>
                    <w:right w:val="single" w:color="auto" w:sz="4" w:space="0"/>
                  </w:tcBorders>
                </w:tcPr>
                <w:p>
                  <w:pPr>
                    <w:autoSpaceDE w:val="0"/>
                    <w:autoSpaceDN w:val="0"/>
                    <w:adjustRightInd w:val="0"/>
                    <w:spacing w:before="96"/>
                    <w:ind w:right="140"/>
                    <w:rPr>
                      <w:rFonts w:ascii="宋体" w:hAnsi="宋体"/>
                      <w:color w:val="auto"/>
                      <w:szCs w:val="21"/>
                    </w:rPr>
                  </w:pPr>
                  <w:r>
                    <w:rPr>
                      <w:rFonts w:hint="eastAsia" w:ascii="宋体" w:hAnsi="宋体"/>
                      <w:color w:val="auto"/>
                      <w:szCs w:val="21"/>
                    </w:rPr>
                    <w:t>0.8%</w:t>
                  </w:r>
                </w:p>
              </w:tc>
              <w:tc>
                <w:tcPr>
                  <w:tcW w:w="1408" w:type="dxa"/>
                  <w:tcBorders>
                    <w:top w:val="single" w:color="auto" w:sz="4" w:space="0"/>
                    <w:bottom w:val="single" w:color="auto" w:sz="4" w:space="0"/>
                    <w:right w:val="single" w:color="auto" w:sz="4" w:space="0"/>
                  </w:tcBorders>
                </w:tcPr>
                <w:p>
                  <w:pPr>
                    <w:autoSpaceDE w:val="0"/>
                    <w:autoSpaceDN w:val="0"/>
                    <w:adjustRightInd w:val="0"/>
                    <w:spacing w:before="96"/>
                    <w:ind w:right="140"/>
                    <w:rPr>
                      <w:rFonts w:ascii="宋体" w:hAnsi="宋体"/>
                      <w:color w:val="auto"/>
                      <w:szCs w:val="21"/>
                    </w:rPr>
                  </w:pPr>
                  <w:r>
                    <w:rPr>
                      <w:rFonts w:hint="eastAsia" w:ascii="宋体" w:hAnsi="宋体"/>
                      <w:color w:val="auto"/>
                      <w:szCs w:val="21"/>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4" w:hRule="atLeast"/>
              </w:trPr>
              <w:tc>
                <w:tcPr>
                  <w:tcW w:w="2786" w:type="dxa"/>
                </w:tcPr>
                <w:p>
                  <w:pPr>
                    <w:autoSpaceDE w:val="0"/>
                    <w:autoSpaceDN w:val="0"/>
                    <w:adjustRightInd w:val="0"/>
                    <w:spacing w:before="96"/>
                    <w:ind w:right="140"/>
                    <w:rPr>
                      <w:rFonts w:ascii="宋体" w:hAnsi="宋体"/>
                      <w:color w:val="auto"/>
                      <w:szCs w:val="21"/>
                    </w:rPr>
                  </w:pPr>
                  <w:r>
                    <w:rPr>
                      <w:rFonts w:hint="eastAsia" w:ascii="宋体" w:hAnsi="宋体"/>
                      <w:color w:val="auto"/>
                      <w:szCs w:val="21"/>
                    </w:rPr>
                    <w:t>500-1000</w:t>
                  </w:r>
                </w:p>
              </w:tc>
              <w:tc>
                <w:tcPr>
                  <w:tcW w:w="1442" w:type="dxa"/>
                </w:tcPr>
                <w:p>
                  <w:pPr>
                    <w:autoSpaceDE w:val="0"/>
                    <w:autoSpaceDN w:val="0"/>
                    <w:adjustRightInd w:val="0"/>
                    <w:spacing w:before="96"/>
                    <w:ind w:right="140"/>
                    <w:rPr>
                      <w:rFonts w:ascii="宋体" w:hAnsi="宋体"/>
                      <w:color w:val="auto"/>
                      <w:szCs w:val="21"/>
                    </w:rPr>
                  </w:pPr>
                  <w:r>
                    <w:rPr>
                      <w:rFonts w:hint="eastAsia" w:ascii="宋体" w:hAnsi="宋体"/>
                      <w:color w:val="auto"/>
                      <w:szCs w:val="21"/>
                    </w:rPr>
                    <w:t>0.8%</w:t>
                  </w:r>
                </w:p>
              </w:tc>
              <w:tc>
                <w:tcPr>
                  <w:tcW w:w="1441" w:type="dxa"/>
                  <w:tcBorders>
                    <w:top w:val="single" w:color="auto" w:sz="4" w:space="0"/>
                    <w:bottom w:val="single" w:color="auto" w:sz="4" w:space="0"/>
                    <w:right w:val="single" w:color="auto" w:sz="4" w:space="0"/>
                  </w:tcBorders>
                </w:tcPr>
                <w:p>
                  <w:pPr>
                    <w:autoSpaceDE w:val="0"/>
                    <w:autoSpaceDN w:val="0"/>
                    <w:adjustRightInd w:val="0"/>
                    <w:spacing w:before="96"/>
                    <w:ind w:right="140"/>
                    <w:rPr>
                      <w:rFonts w:ascii="宋体" w:hAnsi="宋体"/>
                      <w:color w:val="auto"/>
                      <w:szCs w:val="21"/>
                    </w:rPr>
                  </w:pPr>
                  <w:r>
                    <w:rPr>
                      <w:rFonts w:hint="eastAsia" w:ascii="宋体" w:hAnsi="宋体"/>
                      <w:color w:val="auto"/>
                      <w:szCs w:val="21"/>
                    </w:rPr>
                    <w:t>0.45%</w:t>
                  </w:r>
                </w:p>
              </w:tc>
              <w:tc>
                <w:tcPr>
                  <w:tcW w:w="1408" w:type="dxa"/>
                  <w:tcBorders>
                    <w:top w:val="single" w:color="auto" w:sz="4" w:space="0"/>
                    <w:bottom w:val="single" w:color="auto" w:sz="4" w:space="0"/>
                    <w:right w:val="single" w:color="auto" w:sz="4" w:space="0"/>
                  </w:tcBorders>
                </w:tcPr>
                <w:p>
                  <w:pPr>
                    <w:autoSpaceDE w:val="0"/>
                    <w:autoSpaceDN w:val="0"/>
                    <w:adjustRightInd w:val="0"/>
                    <w:spacing w:before="96"/>
                    <w:ind w:right="140"/>
                    <w:rPr>
                      <w:rFonts w:ascii="宋体" w:hAnsi="宋体"/>
                      <w:color w:val="auto"/>
                      <w:szCs w:val="21"/>
                    </w:rPr>
                  </w:pPr>
                  <w:r>
                    <w:rPr>
                      <w:rFonts w:hint="eastAsia" w:ascii="宋体" w:hAnsi="宋体"/>
                      <w:color w:val="auto"/>
                      <w:szCs w:val="21"/>
                    </w:rPr>
                    <w:t>0.55%</w:t>
                  </w:r>
                </w:p>
              </w:tc>
            </w:tr>
          </w:tbl>
          <w:p>
            <w:pPr>
              <w:autoSpaceDE w:val="0"/>
              <w:autoSpaceDN w:val="0"/>
              <w:adjustRightInd w:val="0"/>
              <w:spacing w:before="96"/>
              <w:ind w:right="140"/>
              <w:rPr>
                <w:rFonts w:ascii="宋体" w:hAnsi="宋体" w:cs="宋体"/>
                <w:color w:val="auto"/>
                <w:szCs w:val="21"/>
              </w:rPr>
            </w:pPr>
            <w:r>
              <w:rPr>
                <w:rFonts w:hint="eastAsia" w:ascii="宋体" w:hAnsi="宋体"/>
                <w:color w:val="auto"/>
                <w:szCs w:val="21"/>
              </w:rPr>
              <w:t>（3</w:t>
            </w:r>
            <w:r>
              <w:rPr>
                <w:rFonts w:hint="eastAsia" w:ascii="宋体" w:hAnsi="宋体" w:cs="宋体"/>
                <w:color w:val="auto"/>
                <w:szCs w:val="21"/>
              </w:rPr>
              <w:t>）本项目招标代理服务费由中标人以对公账户银行转帐方式转到以下账户。</w:t>
            </w:r>
          </w:p>
          <w:p>
            <w:pPr>
              <w:autoSpaceDE w:val="0"/>
              <w:autoSpaceDN w:val="0"/>
              <w:adjustRightInd w:val="0"/>
              <w:spacing w:before="96"/>
              <w:ind w:right="140"/>
              <w:rPr>
                <w:rFonts w:ascii="宋体" w:hAnsi="宋体" w:cs="宋体"/>
                <w:color w:val="auto"/>
                <w:szCs w:val="21"/>
              </w:rPr>
            </w:pPr>
            <w:r>
              <w:rPr>
                <w:rFonts w:hint="eastAsia" w:ascii="宋体" w:hAnsi="宋体" w:cs="宋体"/>
                <w:color w:val="auto"/>
                <w:szCs w:val="21"/>
              </w:rPr>
              <w:t>开户行： 佛山农村商业银行股份有限公司</w:t>
            </w:r>
          </w:p>
          <w:p>
            <w:pPr>
              <w:autoSpaceDE w:val="0"/>
              <w:autoSpaceDN w:val="0"/>
              <w:adjustRightInd w:val="0"/>
              <w:spacing w:before="96"/>
              <w:ind w:right="140"/>
              <w:rPr>
                <w:rFonts w:ascii="宋体" w:hAnsi="宋体" w:cs="宋体"/>
                <w:color w:val="auto"/>
                <w:szCs w:val="21"/>
              </w:rPr>
            </w:pPr>
            <w:r>
              <w:rPr>
                <w:rFonts w:hint="eastAsia" w:ascii="宋体" w:hAnsi="宋体" w:cs="宋体"/>
                <w:color w:val="auto"/>
                <w:szCs w:val="21"/>
              </w:rPr>
              <w:t>开户名：广东熙泽企业管理有限公司</w:t>
            </w:r>
          </w:p>
          <w:p>
            <w:pPr>
              <w:autoSpaceDE w:val="0"/>
              <w:autoSpaceDN w:val="0"/>
              <w:adjustRightInd w:val="0"/>
              <w:spacing w:before="96"/>
              <w:ind w:right="140"/>
              <w:rPr>
                <w:rFonts w:ascii="宋体" w:hAnsi="宋体" w:cs="宋体"/>
                <w:color w:val="auto"/>
                <w:szCs w:val="21"/>
              </w:rPr>
            </w:pPr>
            <w:r>
              <w:rPr>
                <w:rFonts w:hint="eastAsia" w:ascii="宋体" w:hAnsi="宋体" w:cs="宋体"/>
                <w:color w:val="auto"/>
                <w:szCs w:val="21"/>
              </w:rPr>
              <w:t>帐号：80020000014539583</w:t>
            </w:r>
          </w:p>
          <w:p>
            <w:pPr>
              <w:autoSpaceDE w:val="0"/>
              <w:autoSpaceDN w:val="0"/>
              <w:adjustRightInd w:val="0"/>
              <w:spacing w:before="96"/>
              <w:ind w:right="140"/>
              <w:rPr>
                <w:rFonts w:ascii="宋体" w:hAnsi="宋体" w:cs="宋体"/>
                <w:color w:val="auto"/>
                <w:szCs w:val="21"/>
              </w:rPr>
            </w:pPr>
            <w:r>
              <w:rPr>
                <w:rFonts w:hint="eastAsia" w:ascii="宋体" w:hAnsi="宋体" w:cs="宋体"/>
                <w:color w:val="auto"/>
                <w:szCs w:val="21"/>
              </w:rPr>
              <w:t>保证金相关事宜联系人：伍小姐</w:t>
            </w:r>
          </w:p>
          <w:p>
            <w:pPr>
              <w:autoSpaceDE w:val="0"/>
              <w:autoSpaceDN w:val="0"/>
              <w:adjustRightInd w:val="0"/>
              <w:spacing w:before="96"/>
              <w:ind w:right="140"/>
              <w:rPr>
                <w:rFonts w:ascii="宋体"/>
                <w:b/>
                <w:bCs/>
                <w:color w:val="auto"/>
                <w:highlight w:val="yellow"/>
              </w:rPr>
            </w:pPr>
            <w:r>
              <w:rPr>
                <w:rFonts w:hint="eastAsia" w:ascii="宋体" w:hAnsi="宋体" w:cs="宋体"/>
                <w:color w:val="auto"/>
                <w:szCs w:val="21"/>
              </w:rPr>
              <w:t>联系电话：0757-88631138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其他</w:t>
            </w:r>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00" w:lineRule="exact"/>
              <w:rPr>
                <w:rFonts w:ascii="宋体" w:hAnsi="宋体" w:cs="宋体"/>
                <w:color w:val="auto"/>
                <w:szCs w:val="21"/>
              </w:rPr>
            </w:pPr>
            <w:r>
              <w:rPr>
                <w:rFonts w:hint="eastAsia" w:ascii="宋体" w:hAnsi="宋体" w:cs="宋体"/>
                <w:color w:val="auto"/>
                <w:szCs w:val="21"/>
              </w:rPr>
              <w:t>采购代理机构在磋商当日</w:t>
            </w:r>
            <w:r>
              <w:rPr>
                <w:rFonts w:ascii="宋体" w:hAnsi="宋体" w:cs="宋体"/>
                <w:color w:val="auto"/>
                <w:szCs w:val="21"/>
              </w:rPr>
              <w:t>通过“信用中国”网站（www.creditchina.gov.cn）、中国政府采购网（www.ccgp.gov.cn）查询</w:t>
            </w:r>
            <w:r>
              <w:rPr>
                <w:rFonts w:hint="eastAsia" w:ascii="宋体" w:hAnsi="宋体" w:cs="宋体"/>
                <w:color w:val="auto"/>
                <w:szCs w:val="21"/>
              </w:rPr>
              <w:t>供应商信用记录。</w:t>
            </w:r>
            <w:r>
              <w:rPr>
                <w:rFonts w:ascii="宋体" w:hAnsi="宋体" w:cs="宋体"/>
                <w:color w:val="auto"/>
                <w:szCs w:val="21"/>
              </w:rPr>
              <w:t>对列入失信被执行人、重大税收违法案件当事人名单、政府采购严重违法失信行为记录名单及其他不符合《中华人民共和国政府采购法》第二十二条规定条件的供应商，拒绝其参与政府采购活动</w:t>
            </w:r>
            <w:r>
              <w:rPr>
                <w:rFonts w:hint="eastAsia" w:ascii="宋体" w:hAnsi="宋体" w:cs="宋体"/>
                <w:color w:val="auto"/>
                <w:szCs w:val="21"/>
              </w:rPr>
              <w:t>。（处罚期限届满的除外，如“信用中国”网站查询结果显示“没查到您要的信息”，视为没有上述三类不良信用记录）</w:t>
            </w:r>
          </w:p>
          <w:p>
            <w:pPr>
              <w:tabs>
                <w:tab w:val="left" w:pos="1276"/>
              </w:tabs>
              <w:ind w:firstLine="31" w:firstLineChars="15"/>
              <w:rPr>
                <w:color w:val="auto"/>
                <w:szCs w:val="21"/>
              </w:rPr>
            </w:pPr>
            <w:r>
              <w:rPr>
                <w:rFonts w:hint="eastAsia" w:ascii="宋体" w:hAnsi="宋体" w:cs="宋体"/>
                <w:color w:val="auto"/>
                <w:szCs w:val="21"/>
              </w:rPr>
              <w:t>采购代理机构将信用信息查询记录和证据打印留存，信用信息查询记录及相关证据与其他采购文件一并保存。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21"/>
              </w:rPr>
            </w:pPr>
            <w:r>
              <w:rPr>
                <w:rFonts w:hint="eastAsia" w:ascii="宋体" w:hAnsi="宋体"/>
                <w:color w:val="auto"/>
                <w:szCs w:val="21"/>
              </w:rPr>
              <w:t>手持证明材料</w:t>
            </w:r>
          </w:p>
        </w:tc>
        <w:tc>
          <w:tcPr>
            <w:tcW w:w="7621" w:type="dxa"/>
            <w:tcBorders>
              <w:top w:val="single" w:color="auto" w:sz="4" w:space="0"/>
              <w:left w:val="single" w:color="auto" w:sz="4" w:space="0"/>
              <w:bottom w:val="single" w:color="auto" w:sz="4" w:space="0"/>
              <w:right w:val="single" w:color="auto" w:sz="4" w:space="0"/>
            </w:tcBorders>
            <w:vAlign w:val="center"/>
          </w:tcPr>
          <w:p>
            <w:pPr>
              <w:pStyle w:val="4"/>
              <w:spacing w:line="240" w:lineRule="auto"/>
              <w:ind w:firstLine="0"/>
              <w:jc w:val="left"/>
              <w:rPr>
                <w:rFonts w:hAnsi="宋体" w:cs="宋体"/>
                <w:b w:val="0"/>
                <w:color w:val="auto"/>
                <w:sz w:val="21"/>
                <w:szCs w:val="21"/>
              </w:rPr>
            </w:pPr>
            <w:bookmarkStart w:id="13" w:name="_Toc15"/>
            <w:bookmarkStart w:id="14" w:name="_Toc18935109"/>
            <w:bookmarkStart w:id="15" w:name="_Toc26047"/>
            <w:bookmarkStart w:id="16" w:name="_Toc3890"/>
            <w:bookmarkStart w:id="17" w:name="_Toc11848"/>
            <w:bookmarkStart w:id="18" w:name="_Toc18934967"/>
            <w:bookmarkStart w:id="19" w:name="_Toc11057"/>
            <w:r>
              <w:rPr>
                <w:rFonts w:hint="eastAsia" w:hAnsi="宋体" w:cs="宋体"/>
                <w:b w:val="0"/>
                <w:color w:val="auto"/>
                <w:sz w:val="21"/>
                <w:szCs w:val="21"/>
              </w:rPr>
              <w:t>供应商必须由法定代表人（负责人）或其委托代理人（具有法定代表人签署的授权书）携带身份证明原件参加磋商，在评审过程中随时接受磋商小组就响应文件的内容提出的质询，并予以解答。</w:t>
            </w:r>
            <w:bookmarkEnd w:id="13"/>
            <w:bookmarkEnd w:id="14"/>
            <w:bookmarkEnd w:id="15"/>
            <w:bookmarkEnd w:id="16"/>
            <w:bookmarkEnd w:id="17"/>
            <w:bookmarkEnd w:id="18"/>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7"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4"/>
              <w:ind w:firstLine="0"/>
              <w:jc w:val="left"/>
              <w:rPr>
                <w:rFonts w:hAnsi="宋体"/>
                <w:b w:val="0"/>
                <w:color w:val="auto"/>
                <w:sz w:val="21"/>
                <w:szCs w:val="21"/>
              </w:rPr>
            </w:pPr>
            <w:bookmarkStart w:id="20" w:name="_Toc465878078"/>
            <w:bookmarkStart w:id="21" w:name="_Toc26111"/>
            <w:bookmarkStart w:id="22" w:name="_Toc18935110"/>
            <w:bookmarkStart w:id="23" w:name="_Toc13378"/>
            <w:bookmarkStart w:id="24" w:name="_Toc8573"/>
            <w:bookmarkStart w:id="25" w:name="_Toc18934968"/>
            <w:bookmarkStart w:id="26" w:name="_Toc23530"/>
            <w:bookmarkStart w:id="27" w:name="_Toc28059"/>
            <w:bookmarkStart w:id="28" w:name="_Toc28254"/>
            <w:bookmarkStart w:id="29" w:name="_Toc3249"/>
            <w:r>
              <w:rPr>
                <w:rFonts w:hint="eastAsia" w:hAnsi="宋体" w:cs="黑体"/>
                <w:b w:val="0"/>
                <w:color w:val="auto"/>
                <w:sz w:val="21"/>
                <w:szCs w:val="21"/>
              </w:rPr>
              <w:t>发布公告的媒介</w:t>
            </w:r>
            <w:bookmarkEnd w:id="20"/>
            <w:bookmarkEnd w:id="21"/>
            <w:bookmarkEnd w:id="22"/>
            <w:bookmarkEnd w:id="23"/>
            <w:bookmarkEnd w:id="24"/>
            <w:bookmarkEnd w:id="25"/>
            <w:bookmarkEnd w:id="26"/>
            <w:bookmarkEnd w:id="27"/>
            <w:bookmarkEnd w:id="28"/>
            <w:bookmarkEnd w:id="29"/>
          </w:p>
        </w:tc>
        <w:tc>
          <w:tcPr>
            <w:tcW w:w="7621" w:type="dxa"/>
            <w:tcBorders>
              <w:top w:val="single" w:color="auto" w:sz="4" w:space="0"/>
              <w:left w:val="single" w:color="auto" w:sz="4" w:space="0"/>
              <w:bottom w:val="single" w:color="auto" w:sz="4" w:space="0"/>
              <w:right w:val="single" w:color="auto" w:sz="4" w:space="0"/>
            </w:tcBorders>
          </w:tcPr>
          <w:p>
            <w:pPr>
              <w:pStyle w:val="4"/>
              <w:spacing w:line="240" w:lineRule="auto"/>
              <w:ind w:firstLine="0"/>
              <w:jc w:val="left"/>
              <w:rPr>
                <w:rFonts w:hAnsi="宋体" w:cs="黑体"/>
                <w:b w:val="0"/>
                <w:color w:val="auto"/>
                <w:sz w:val="21"/>
                <w:szCs w:val="21"/>
              </w:rPr>
            </w:pPr>
            <w:bookmarkStart w:id="30" w:name="_Toc18935111"/>
            <w:bookmarkStart w:id="31" w:name="_Toc18934969"/>
            <w:bookmarkStart w:id="32" w:name="_Toc20855"/>
            <w:bookmarkStart w:id="33" w:name="_Toc30398"/>
            <w:bookmarkStart w:id="34" w:name="_Toc20135"/>
            <w:bookmarkStart w:id="35" w:name="_Toc11987"/>
            <w:bookmarkStart w:id="36" w:name="_Toc14362"/>
            <w:r>
              <w:rPr>
                <w:rFonts w:hint="eastAsia" w:hAnsi="宋体" w:cs="宋体"/>
                <w:b w:val="0"/>
                <w:color w:val="auto"/>
                <w:sz w:val="21"/>
                <w:szCs w:val="21"/>
              </w:rPr>
              <w:t>本招标公告同时在中国政府采购网：</w:t>
            </w:r>
            <w:r>
              <w:rPr>
                <w:color w:val="auto"/>
              </w:rPr>
              <w:fldChar w:fldCharType="begin"/>
            </w:r>
            <w:r>
              <w:rPr>
                <w:color w:val="auto"/>
              </w:rPr>
              <w:instrText xml:space="preserve"> HYPERLINK "http://www.ccgp.gov.cn/" </w:instrText>
            </w:r>
            <w:r>
              <w:rPr>
                <w:color w:val="auto"/>
              </w:rPr>
              <w:fldChar w:fldCharType="separate"/>
            </w:r>
            <w:r>
              <w:rPr>
                <w:rFonts w:hint="eastAsia" w:hAnsi="宋体" w:cs="宋体"/>
                <w:b w:val="0"/>
                <w:color w:val="auto"/>
                <w:sz w:val="21"/>
                <w:szCs w:val="21"/>
              </w:rPr>
              <w:t>http://www.ccgp.gov.cn/</w:t>
            </w:r>
            <w:r>
              <w:rPr>
                <w:rFonts w:hint="eastAsia" w:hAnsi="宋体" w:cs="宋体"/>
                <w:b w:val="0"/>
                <w:color w:val="auto"/>
                <w:sz w:val="21"/>
                <w:szCs w:val="21"/>
              </w:rPr>
              <w:fldChar w:fldCharType="end"/>
            </w:r>
            <w:bookmarkEnd w:id="30"/>
            <w:bookmarkEnd w:id="31"/>
            <w:bookmarkEnd w:id="32"/>
            <w:bookmarkEnd w:id="33"/>
            <w:bookmarkEnd w:id="34"/>
            <w:bookmarkEnd w:id="35"/>
            <w:bookmarkEnd w:id="36"/>
            <w:r>
              <w:rPr>
                <w:rFonts w:hint="eastAsia" w:hAnsi="宋体" w:cs="宋体"/>
                <w:b w:val="0"/>
                <w:color w:val="auto"/>
                <w:sz w:val="21"/>
                <w:szCs w:val="21"/>
              </w:rPr>
              <w:t>、高明区人民医院外网（</w:t>
            </w:r>
            <w:r>
              <w:rPr>
                <w:color w:val="auto"/>
              </w:rPr>
              <w:fldChar w:fldCharType="begin"/>
            </w:r>
            <w:r>
              <w:rPr>
                <w:color w:val="auto"/>
              </w:rPr>
              <w:instrText xml:space="preserve"> HYPERLINK "http://www.gmrmyy.com/" </w:instrText>
            </w:r>
            <w:r>
              <w:rPr>
                <w:color w:val="auto"/>
              </w:rPr>
              <w:fldChar w:fldCharType="separate"/>
            </w:r>
            <w:r>
              <w:rPr>
                <w:rFonts w:hAnsi="宋体" w:cs="宋体"/>
                <w:b w:val="0"/>
                <w:color w:val="auto"/>
                <w:sz w:val="21"/>
                <w:szCs w:val="21"/>
              </w:rPr>
              <w:t>http://www.gmrmyy.com/</w:t>
            </w:r>
            <w:r>
              <w:rPr>
                <w:rFonts w:hAnsi="宋体" w:cs="宋体"/>
                <w:b w:val="0"/>
                <w:color w:val="auto"/>
                <w:sz w:val="21"/>
                <w:szCs w:val="21"/>
              </w:rPr>
              <w:fldChar w:fldCharType="end"/>
            </w:r>
            <w:r>
              <w:rPr>
                <w:rFonts w:hint="eastAsia" w:hAnsi="宋体" w:cs="宋体"/>
                <w:b w:val="0"/>
                <w:color w:val="auto"/>
                <w:sz w:val="21"/>
                <w:szCs w:val="21"/>
              </w:rPr>
              <w:t>）、广东熙泽企业管理有限公司网站：（http://gdxize.xg20.zbwdj.com/）公告内容和时间不一致时，以高明区人民医院外网发布的为准。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4"/>
              <w:ind w:firstLine="0"/>
              <w:jc w:val="center"/>
              <w:rPr>
                <w:rFonts w:hAnsi="宋体" w:cs="宋体"/>
                <w:b w:val="0"/>
                <w:color w:val="auto"/>
                <w:sz w:val="21"/>
                <w:szCs w:val="21"/>
              </w:rPr>
            </w:pPr>
            <w:bookmarkStart w:id="37" w:name="_Toc18934970"/>
            <w:bookmarkStart w:id="38" w:name="_Toc18935112"/>
            <w:bookmarkStart w:id="39" w:name="_Toc25694"/>
            <w:bookmarkStart w:id="40" w:name="_Toc10205"/>
            <w:bookmarkStart w:id="41" w:name="_Toc18599"/>
            <w:bookmarkStart w:id="42" w:name="_Toc14611"/>
            <w:bookmarkStart w:id="43" w:name="_Toc14115"/>
            <w:r>
              <w:rPr>
                <w:rFonts w:hint="eastAsia" w:hAnsi="宋体" w:cs="宋体"/>
                <w:b w:val="0"/>
                <w:color w:val="auto"/>
                <w:sz w:val="21"/>
                <w:szCs w:val="21"/>
              </w:rPr>
              <w:t>结算方式</w:t>
            </w:r>
            <w:bookmarkEnd w:id="37"/>
            <w:bookmarkEnd w:id="38"/>
            <w:bookmarkEnd w:id="39"/>
            <w:bookmarkEnd w:id="40"/>
            <w:bookmarkEnd w:id="41"/>
            <w:bookmarkEnd w:id="42"/>
            <w:bookmarkEnd w:id="43"/>
          </w:p>
        </w:tc>
        <w:tc>
          <w:tcPr>
            <w:tcW w:w="7621" w:type="dxa"/>
            <w:tcBorders>
              <w:top w:val="single" w:color="auto" w:sz="4" w:space="0"/>
              <w:left w:val="single" w:color="auto" w:sz="4" w:space="0"/>
              <w:bottom w:val="single" w:color="auto" w:sz="4" w:space="0"/>
              <w:right w:val="single" w:color="auto" w:sz="4" w:space="0"/>
            </w:tcBorders>
            <w:vAlign w:val="center"/>
          </w:tcPr>
          <w:p>
            <w:pPr>
              <w:tabs>
                <w:tab w:val="left" w:pos="720"/>
                <w:tab w:val="left" w:pos="5580"/>
              </w:tabs>
              <w:ind w:firstLine="420" w:firstLineChars="200"/>
              <w:rPr>
                <w:rFonts w:ascii="宋体" w:hAnsi="宋体" w:cs="宋体"/>
                <w:color w:val="auto"/>
                <w:szCs w:val="21"/>
              </w:rPr>
            </w:pPr>
            <w:r>
              <w:rPr>
                <w:rFonts w:hint="eastAsia" w:ascii="宋体" w:hAnsi="宋体" w:cs="宋体"/>
                <w:color w:val="auto"/>
                <w:szCs w:val="21"/>
              </w:rPr>
              <w:t>采用隔月结算方式结算。每月最后一天，（节假日除外）中标人、用户双方核对一次上月双方确认的洁净洗涤医疗被服清单，用户在五个工作日内与中标人核对清楚；中标人根据上月洁净洗涤医疗被服清单乘以被服洗涤价格再乘以中标折扣率计算洗涤费用总额，然后按洗涤费用总额的95%开具有效服务发票，采购人在30个工作日 内以银行转帐方式结清洗涤费用。余下5%的月服务费余额待年终考核达标后累加核对清楚后一次性结清。本项目各品种被服的洗涤标准单价详见用户需求。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jc w:val="center"/>
        </w:trPr>
        <w:tc>
          <w:tcPr>
            <w:tcW w:w="906" w:type="dxa"/>
            <w:tcBorders>
              <w:top w:val="single" w:color="auto" w:sz="4" w:space="0"/>
              <w:left w:val="single" w:color="auto" w:sz="4" w:space="0"/>
              <w:bottom w:val="single" w:color="auto" w:sz="4" w:space="0"/>
              <w:right w:val="single" w:color="auto" w:sz="4" w:space="0"/>
            </w:tcBorders>
            <w:vAlign w:val="center"/>
          </w:tcPr>
          <w:p>
            <w:pPr>
              <w:numPr>
                <w:ilvl w:val="0"/>
                <w:numId w:val="4"/>
              </w:numPr>
              <w:jc w:val="center"/>
              <w:rPr>
                <w:rFonts w:ascii="宋体" w:hAnsi="宋体"/>
                <w:color w:val="auto"/>
                <w:szCs w:val="21"/>
              </w:rPr>
            </w:pPr>
          </w:p>
        </w:tc>
        <w:tc>
          <w:tcPr>
            <w:tcW w:w="1632" w:type="dxa"/>
            <w:tcBorders>
              <w:top w:val="single" w:color="auto" w:sz="4" w:space="0"/>
              <w:left w:val="single" w:color="auto" w:sz="4" w:space="0"/>
              <w:bottom w:val="single" w:color="auto" w:sz="4" w:space="0"/>
              <w:right w:val="single" w:color="auto" w:sz="4" w:space="0"/>
            </w:tcBorders>
            <w:vAlign w:val="center"/>
          </w:tcPr>
          <w:p>
            <w:pPr>
              <w:pStyle w:val="4"/>
              <w:ind w:firstLine="0"/>
              <w:jc w:val="center"/>
              <w:rPr>
                <w:rFonts w:hAnsi="宋体" w:cs="宋体"/>
                <w:b w:val="0"/>
                <w:color w:val="auto"/>
                <w:sz w:val="21"/>
                <w:szCs w:val="21"/>
              </w:rPr>
            </w:pPr>
            <w:r>
              <w:rPr>
                <w:rFonts w:hint="eastAsia" w:hAnsi="宋体" w:cs="宋体"/>
                <w:b w:val="0"/>
                <w:color w:val="auto"/>
                <w:sz w:val="21"/>
                <w:szCs w:val="21"/>
              </w:rPr>
              <w:t>履约担保</w:t>
            </w:r>
          </w:p>
          <w:p>
            <w:pPr>
              <w:pStyle w:val="4"/>
              <w:ind w:firstLine="0"/>
              <w:rPr>
                <w:rFonts w:hAnsi="宋体" w:cs="宋体"/>
                <w:b w:val="0"/>
                <w:color w:val="auto"/>
                <w:sz w:val="21"/>
                <w:szCs w:val="21"/>
              </w:rPr>
            </w:pPr>
          </w:p>
        </w:tc>
        <w:tc>
          <w:tcPr>
            <w:tcW w:w="7621"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color w:val="auto"/>
                <w:szCs w:val="21"/>
              </w:rPr>
            </w:pPr>
            <w:r>
              <w:rPr>
                <w:rFonts w:hint="eastAsia" w:ascii="宋体" w:hAnsi="宋体" w:cs="宋体"/>
                <w:color w:val="auto"/>
                <w:szCs w:val="21"/>
              </w:rPr>
              <w:t>履约担保形式：可采用银行汇款或转账方式或银行保函形式。</w:t>
            </w:r>
          </w:p>
          <w:p>
            <w:pPr>
              <w:snapToGrid w:val="0"/>
              <w:rPr>
                <w:rFonts w:ascii="宋体" w:hAnsi="宋体" w:cs="宋体"/>
                <w:color w:val="auto"/>
                <w:szCs w:val="21"/>
              </w:rPr>
            </w:pPr>
            <w:r>
              <w:rPr>
                <w:rFonts w:hint="eastAsia" w:ascii="宋体" w:hAnsi="宋体" w:cs="宋体"/>
                <w:color w:val="auto"/>
                <w:szCs w:val="21"/>
              </w:rPr>
              <w:t>履约担保金额：中标价的10%（以元为单位取整数）。</w:t>
            </w:r>
          </w:p>
          <w:p>
            <w:pPr>
              <w:snapToGrid w:val="0"/>
              <w:rPr>
                <w:rFonts w:ascii="宋体" w:hAnsi="宋体" w:cs="宋体"/>
                <w:color w:val="auto"/>
                <w:szCs w:val="21"/>
              </w:rPr>
            </w:pPr>
            <w:r>
              <w:rPr>
                <w:rFonts w:hint="eastAsia" w:ascii="宋体" w:hAnsi="宋体" w:cs="宋体"/>
                <w:color w:val="auto"/>
                <w:szCs w:val="21"/>
              </w:rPr>
              <w:t>履约担保采用银行保函的，出具银行保函的银行级别为国有商业银行或股份制商业银行的分行及其以上银行，银行保函所需的费用由承包人承担。</w:t>
            </w:r>
          </w:p>
          <w:p>
            <w:pPr>
              <w:tabs>
                <w:tab w:val="left" w:pos="720"/>
                <w:tab w:val="left" w:pos="5580"/>
              </w:tabs>
              <w:spacing w:line="460" w:lineRule="exact"/>
              <w:rPr>
                <w:rFonts w:ascii="宋体" w:hAnsi="宋体" w:cs="宋体"/>
                <w:color w:val="auto"/>
                <w:szCs w:val="21"/>
              </w:rPr>
            </w:pPr>
            <w:r>
              <w:rPr>
                <w:rFonts w:hint="eastAsia" w:ascii="宋体" w:hAnsi="宋体" w:cs="宋体"/>
                <w:color w:val="auto"/>
                <w:szCs w:val="21"/>
              </w:rPr>
              <w:t>中标人收到中标通知书后，必须在签订合同前缴纳履约保证金。</w:t>
            </w:r>
          </w:p>
        </w:tc>
      </w:tr>
    </w:tbl>
    <w:p>
      <w:pPr>
        <w:ind w:firstLine="422" w:firstLineChars="200"/>
        <w:rPr>
          <w:color w:val="auto"/>
        </w:rPr>
      </w:pPr>
      <w:r>
        <w:rPr>
          <w:rFonts w:hint="eastAsia" w:ascii="宋体" w:hAnsi="宋体"/>
          <w:b/>
          <w:color w:val="auto"/>
          <w:szCs w:val="21"/>
        </w:rPr>
        <w:t>供应商必须认真阅读以下内容，以免造成响应失败。</w:t>
      </w:r>
      <w:bookmarkStart w:id="44" w:name="_Toc469663671"/>
      <w:bookmarkStart w:id="45" w:name="_Toc337541095"/>
      <w:bookmarkStart w:id="46" w:name="_Toc111890779"/>
      <w:bookmarkStart w:id="47" w:name="_Toc20844"/>
    </w:p>
    <w:p>
      <w:pPr>
        <w:jc w:val="center"/>
        <w:rPr>
          <w:color w:val="auto"/>
        </w:rPr>
      </w:pPr>
    </w:p>
    <w:p>
      <w:pPr>
        <w:pStyle w:val="39"/>
        <w:rPr>
          <w:color w:val="auto"/>
        </w:rPr>
      </w:pPr>
    </w:p>
    <w:bookmarkEnd w:id="44"/>
    <w:bookmarkEnd w:id="45"/>
    <w:bookmarkEnd w:id="46"/>
    <w:bookmarkEnd w:id="47"/>
    <w:p>
      <w:pPr>
        <w:pStyle w:val="90"/>
        <w:numPr>
          <w:ilvl w:val="0"/>
          <w:numId w:val="6"/>
        </w:numPr>
        <w:ind w:firstLineChars="0"/>
        <w:jc w:val="center"/>
        <w:outlineLvl w:val="1"/>
        <w:rPr>
          <w:b/>
          <w:color w:val="auto"/>
          <w:sz w:val="28"/>
          <w:szCs w:val="28"/>
        </w:rPr>
      </w:pPr>
      <w:r>
        <w:rPr>
          <w:rFonts w:hint="eastAsia"/>
          <w:b/>
          <w:color w:val="auto"/>
          <w:sz w:val="28"/>
          <w:szCs w:val="28"/>
        </w:rPr>
        <w:t>须知正文</w:t>
      </w:r>
    </w:p>
    <w:p>
      <w:pPr>
        <w:ind w:firstLine="420" w:firstLineChars="200"/>
        <w:rPr>
          <w:color w:val="auto"/>
        </w:rPr>
      </w:pPr>
    </w:p>
    <w:p>
      <w:pPr>
        <w:tabs>
          <w:tab w:val="left" w:pos="567"/>
          <w:tab w:val="left" w:pos="851"/>
        </w:tabs>
        <w:snapToGrid w:val="0"/>
        <w:spacing w:line="360" w:lineRule="auto"/>
        <w:rPr>
          <w:rFonts w:ascii="宋体"/>
          <w:b/>
          <w:color w:val="auto"/>
          <w:sz w:val="24"/>
        </w:rPr>
      </w:pPr>
      <w:bookmarkStart w:id="48" w:name="_Toc367012631"/>
      <w:r>
        <w:rPr>
          <w:rFonts w:hint="eastAsia" w:ascii="宋体"/>
          <w:b/>
          <w:color w:val="auto"/>
          <w:sz w:val="24"/>
        </w:rPr>
        <w:t>1、适用范围</w:t>
      </w:r>
      <w:bookmarkEnd w:id="48"/>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依据</w:t>
      </w:r>
      <w:r>
        <w:rPr>
          <w:rFonts w:hint="eastAsia" w:ascii="宋体" w:hAnsi="宋体"/>
          <w:bCs/>
          <w:color w:val="auto"/>
          <w:szCs w:val="21"/>
        </w:rPr>
        <w:t>《中华人民共和国政府采购法》、《中华人民共和国政府采购法实施条例》、《</w:t>
      </w:r>
      <w:r>
        <w:rPr>
          <w:rFonts w:hint="eastAsia" w:ascii="宋体" w:hAnsi="宋体" w:cs="宋体"/>
          <w:color w:val="auto"/>
          <w:shd w:val="clear" w:color="auto" w:fill="FFFFFF"/>
        </w:rPr>
        <w:t>政府采购非招标采购方式管理办法</w:t>
      </w:r>
      <w:r>
        <w:rPr>
          <w:rFonts w:hint="eastAsia" w:ascii="宋体" w:hAnsi="宋体"/>
          <w:bCs/>
          <w:color w:val="auto"/>
          <w:szCs w:val="21"/>
        </w:rPr>
        <w:t>》、</w:t>
      </w:r>
      <w:bookmarkStart w:id="49" w:name="_Toc421110650"/>
      <w:r>
        <w:rPr>
          <w:rFonts w:hint="eastAsia" w:ascii="宋体"/>
          <w:color w:val="auto"/>
          <w:szCs w:val="21"/>
        </w:rPr>
        <w:t>《政府采购竞争性磋商采购方式管理暂行办法》</w:t>
      </w:r>
      <w:bookmarkEnd w:id="49"/>
      <w:r>
        <w:rPr>
          <w:rFonts w:hint="eastAsia" w:ascii="宋体" w:hAnsi="宋体"/>
          <w:bCs/>
          <w:color w:val="auto"/>
          <w:szCs w:val="21"/>
        </w:rPr>
        <w:t>及广东省政府采购</w:t>
      </w:r>
      <w:r>
        <w:rPr>
          <w:rFonts w:hint="eastAsia" w:ascii="宋体" w:hAnsi="宋体"/>
          <w:color w:val="auto"/>
          <w:szCs w:val="21"/>
        </w:rPr>
        <w:t>有关规定制定本须知。</w:t>
      </w:r>
    </w:p>
    <w:p>
      <w:pPr>
        <w:numPr>
          <w:ilvl w:val="1"/>
          <w:numId w:val="7"/>
        </w:numPr>
        <w:tabs>
          <w:tab w:val="left" w:pos="567"/>
          <w:tab w:val="left" w:pos="747"/>
          <w:tab w:val="left" w:pos="851"/>
        </w:tabs>
        <w:snapToGrid w:val="0"/>
        <w:spacing w:line="360" w:lineRule="auto"/>
        <w:rPr>
          <w:rFonts w:ascii="宋体" w:hAnsi="宋体"/>
          <w:b/>
          <w:bCs/>
          <w:color w:val="auto"/>
          <w:szCs w:val="21"/>
        </w:rPr>
      </w:pPr>
      <w:r>
        <w:rPr>
          <w:rFonts w:hint="eastAsia" w:ascii="宋体" w:hAnsi="宋体"/>
          <w:color w:val="auto"/>
          <w:szCs w:val="21"/>
        </w:rPr>
        <w:t>本项目的采购人、采购代理机构、供应商及各方当事人适用本须知。</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项目说明</w:t>
      </w:r>
    </w:p>
    <w:p>
      <w:pPr>
        <w:numPr>
          <w:ilvl w:val="1"/>
          <w:numId w:val="7"/>
        </w:numPr>
        <w:tabs>
          <w:tab w:val="left" w:pos="567"/>
          <w:tab w:val="left" w:pos="747"/>
          <w:tab w:val="left" w:pos="851"/>
        </w:tabs>
        <w:snapToGrid w:val="0"/>
        <w:spacing w:line="360" w:lineRule="auto"/>
        <w:rPr>
          <w:rFonts w:ascii="宋体" w:hAnsi="宋体"/>
          <w:color w:val="auto"/>
          <w:szCs w:val="21"/>
        </w:rPr>
      </w:pPr>
      <w:r>
        <w:rPr>
          <w:rFonts w:hint="eastAsia" w:ascii="宋体" w:hAnsi="宋体"/>
          <w:color w:val="auto"/>
          <w:szCs w:val="21"/>
        </w:rPr>
        <w:t>资金性质、资金来源，详见磋商须知前附表第2项。</w:t>
      </w:r>
    </w:p>
    <w:p>
      <w:pPr>
        <w:numPr>
          <w:ilvl w:val="1"/>
          <w:numId w:val="7"/>
        </w:numPr>
        <w:tabs>
          <w:tab w:val="left" w:pos="567"/>
          <w:tab w:val="left" w:pos="747"/>
          <w:tab w:val="left" w:pos="851"/>
        </w:tabs>
        <w:snapToGrid w:val="0"/>
        <w:spacing w:line="360" w:lineRule="auto"/>
        <w:rPr>
          <w:rFonts w:ascii="宋体" w:hAnsi="宋体"/>
          <w:color w:val="auto"/>
          <w:szCs w:val="21"/>
        </w:rPr>
      </w:pPr>
      <w:r>
        <w:rPr>
          <w:rFonts w:hint="eastAsia" w:ascii="宋体" w:hAnsi="宋体"/>
          <w:color w:val="auto"/>
          <w:szCs w:val="21"/>
        </w:rPr>
        <w:t>项目预算，详见磋商须知前附表第2项。</w:t>
      </w:r>
    </w:p>
    <w:p>
      <w:pPr>
        <w:numPr>
          <w:ilvl w:val="1"/>
          <w:numId w:val="7"/>
        </w:numPr>
        <w:tabs>
          <w:tab w:val="left" w:pos="567"/>
          <w:tab w:val="left" w:pos="747"/>
          <w:tab w:val="left" w:pos="851"/>
        </w:tabs>
        <w:snapToGrid w:val="0"/>
        <w:spacing w:line="360" w:lineRule="auto"/>
        <w:rPr>
          <w:rFonts w:ascii="宋体" w:hAnsi="宋体"/>
          <w:color w:val="auto"/>
          <w:szCs w:val="21"/>
        </w:rPr>
      </w:pPr>
      <w:r>
        <w:rPr>
          <w:rFonts w:hint="eastAsia" w:ascii="宋体" w:hAnsi="宋体"/>
          <w:color w:val="auto"/>
          <w:szCs w:val="21"/>
        </w:rPr>
        <w:t>磋商内容</w:t>
      </w:r>
    </w:p>
    <w:p>
      <w:pPr>
        <w:snapToGrid w:val="0"/>
        <w:spacing w:line="360" w:lineRule="auto"/>
        <w:ind w:left="840" w:leftChars="270" w:hanging="273" w:hangingChars="130"/>
        <w:rPr>
          <w:color w:val="auto"/>
        </w:rPr>
      </w:pPr>
      <w:r>
        <w:rPr>
          <w:rFonts w:hint="eastAsia"/>
          <w:color w:val="auto"/>
        </w:rPr>
        <w:t>（详细内容请参阅磋商文件中的相关内容）</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概念释义</w:t>
      </w:r>
    </w:p>
    <w:p>
      <w:pPr>
        <w:numPr>
          <w:ilvl w:val="1"/>
          <w:numId w:val="7"/>
        </w:numPr>
        <w:tabs>
          <w:tab w:val="left" w:pos="567"/>
          <w:tab w:val="left" w:pos="851"/>
        </w:tabs>
        <w:snapToGrid w:val="0"/>
        <w:spacing w:line="360" w:lineRule="auto"/>
        <w:rPr>
          <w:rFonts w:ascii="宋体" w:hAnsi="宋体"/>
          <w:color w:val="auto"/>
          <w:szCs w:val="21"/>
        </w:rPr>
      </w:pPr>
      <w:r>
        <w:rPr>
          <w:rFonts w:hint="eastAsia" w:ascii="宋体" w:hAnsi="宋体"/>
          <w:color w:val="auto"/>
          <w:szCs w:val="21"/>
        </w:rPr>
        <w:t>监管部门：指同级或以上人民政府财政部门。</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采购人：指依法进行政府采购的</w:t>
      </w:r>
      <w:r>
        <w:rPr>
          <w:rFonts w:ascii="宋体" w:hAnsi="宋体"/>
          <w:color w:val="auto"/>
          <w:szCs w:val="21"/>
        </w:rPr>
        <w:t>国家机关、事业单位和团体组织</w:t>
      </w:r>
      <w:r>
        <w:rPr>
          <w:rFonts w:hint="eastAsia" w:ascii="宋体" w:hAnsi="宋体"/>
          <w:color w:val="auto"/>
          <w:szCs w:val="21"/>
        </w:rPr>
        <w:t>，详见磋商须知前附表第1项。在采购阶段称为采购人</w:t>
      </w:r>
      <w:r>
        <w:rPr>
          <w:rFonts w:ascii="宋体" w:hAnsi="宋体"/>
          <w:color w:val="auto"/>
          <w:szCs w:val="21"/>
        </w:rPr>
        <w:t>，</w:t>
      </w:r>
      <w:r>
        <w:rPr>
          <w:rFonts w:hint="eastAsia" w:ascii="宋体" w:hAnsi="宋体"/>
          <w:color w:val="auto"/>
          <w:szCs w:val="21"/>
        </w:rPr>
        <w:t>在合同阶段称为甲方或买方。为便于磋商文件及附件直接转化为合同条款，在磋商文件中有时称采购人为买方、甲方或业主。</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采购代理机构：依法设立、从事招标代理业务并提供相关服务的社会中介组织，在本项目中指广东熙泽企业管理有限公司。</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招标采购单位：指采购人和采购代理机构。</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磋商小组：磋商小组是依法组建的专门负责本次评审工作的临时性机构。</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响应供应商：符合资格要求，响应磋商、参加磋商竞争的依法成立的法人或其他组织。</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成交供应商：经合法磋商程序评选出来并经采购人确认的获得本项目成交资格的供应商。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货物：供应商按磋商文件及采购合同的规定，须向采购人提供的货物、备件、工具、手册及其它技术资料和材料。</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服务：</w:t>
      </w:r>
      <w:r>
        <w:rPr>
          <w:rFonts w:hint="eastAsia" w:ascii="宋体" w:hAnsi="宋体"/>
          <w:color w:val="auto"/>
        </w:rPr>
        <w:t>磋商文件规定供应商须承担的服务。</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磋商保证金：是指为了保护采购代理机构和采购人免遭因响应供应商的行为而蒙受损失，采购代理机构和采购人在因响应供应商的行为受到损害时，可根据规定不予退还的款项。</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履约保证金：是指采购人为防止成交供应商在合同执行过程中违反合同规定或违约，并弥补给采购人造成的经济损失，既不同于定金，也不同于预付款。</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ascii="宋体" w:hAnsi="宋体"/>
          <w:color w:val="auto"/>
          <w:szCs w:val="21"/>
        </w:rPr>
        <w:t>日期：指公历日</w:t>
      </w:r>
      <w:r>
        <w:rPr>
          <w:rFonts w:hint="eastAsia" w:ascii="宋体" w:hAnsi="宋体"/>
          <w:color w:val="auto"/>
          <w:szCs w:val="21"/>
        </w:rPr>
        <w:t>。</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时间：指北京时间。</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磋商文件中的标题或题名仅起引导作用，不应视为对磋商文件内容的理解和解释。</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合格的供应商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对供应商的要求：详见磋商邀请中“供应商资格”部分</w:t>
      </w:r>
      <w:r>
        <w:rPr>
          <w:rFonts w:hint="eastAsia"/>
          <w:b/>
          <w:bCs/>
          <w:color w:val="auto"/>
        </w:rPr>
        <w:t>。</w:t>
      </w:r>
    </w:p>
    <w:p>
      <w:pPr>
        <w:numPr>
          <w:ilvl w:val="1"/>
          <w:numId w:val="7"/>
        </w:numPr>
        <w:tabs>
          <w:tab w:val="left" w:pos="567"/>
          <w:tab w:val="left" w:pos="851"/>
        </w:tabs>
        <w:snapToGrid w:val="0"/>
        <w:spacing w:line="360" w:lineRule="auto"/>
        <w:ind w:left="567" w:hanging="567"/>
        <w:rPr>
          <w:b/>
          <w:bCs/>
          <w:color w:val="auto"/>
        </w:rPr>
      </w:pPr>
      <w:r>
        <w:rPr>
          <w:rFonts w:hint="eastAsia"/>
          <w:b/>
          <w:bCs/>
          <w:color w:val="auto"/>
        </w:rPr>
        <w:t>供应商必须由法定代表人（负责人）或其委托代理人（</w:t>
      </w:r>
      <w:r>
        <w:rPr>
          <w:b/>
          <w:bCs/>
          <w:color w:val="auto"/>
        </w:rPr>
        <w:t>具有法定代表人签署的授权书</w:t>
      </w:r>
      <w:r>
        <w:rPr>
          <w:rFonts w:hint="eastAsia"/>
          <w:b/>
          <w:bCs/>
          <w:color w:val="auto"/>
        </w:rPr>
        <w:t>）携带身份证明原件参加磋商，在评审过程中随时接受磋商小组就响应文件的内容提出的质询，并予以解答。</w:t>
      </w:r>
    </w:p>
    <w:p>
      <w:pPr>
        <w:numPr>
          <w:ilvl w:val="0"/>
          <w:numId w:val="7"/>
        </w:numPr>
        <w:tabs>
          <w:tab w:val="left" w:pos="567"/>
          <w:tab w:val="left" w:pos="851"/>
        </w:tabs>
        <w:snapToGrid w:val="0"/>
        <w:spacing w:line="360" w:lineRule="auto"/>
        <w:rPr>
          <w:rFonts w:ascii="宋体"/>
          <w:b/>
          <w:color w:val="auto"/>
          <w:sz w:val="24"/>
        </w:rPr>
      </w:pPr>
      <w:bookmarkStart w:id="50" w:name="_Toc368513761"/>
      <w:r>
        <w:rPr>
          <w:rFonts w:hint="eastAsia" w:ascii="宋体"/>
          <w:b/>
          <w:color w:val="auto"/>
          <w:sz w:val="24"/>
        </w:rPr>
        <w:t>合格的</w:t>
      </w:r>
      <w:bookmarkEnd w:id="50"/>
      <w:r>
        <w:rPr>
          <w:rFonts w:hint="eastAsia" w:ascii="宋体"/>
          <w:b/>
          <w:color w:val="auto"/>
          <w:sz w:val="24"/>
        </w:rPr>
        <w:t>工程</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工程是指建设工程，包括建筑物和构筑物的新建、改建、扩建、装修、拆除等。</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合格的工程是指按国家制定的《工程施工质量验收规范》合格标准要求完成的工程。</w:t>
      </w:r>
    </w:p>
    <w:p>
      <w:pPr>
        <w:numPr>
          <w:ilvl w:val="0"/>
          <w:numId w:val="7"/>
        </w:numPr>
        <w:tabs>
          <w:tab w:val="left" w:pos="567"/>
          <w:tab w:val="left" w:pos="851"/>
        </w:tabs>
        <w:snapToGrid w:val="0"/>
        <w:spacing w:line="360" w:lineRule="auto"/>
        <w:ind w:left="567" w:hanging="567"/>
        <w:rPr>
          <w:rFonts w:ascii="宋体"/>
          <w:b/>
          <w:color w:val="auto"/>
          <w:sz w:val="24"/>
        </w:rPr>
      </w:pPr>
      <w:r>
        <w:rPr>
          <w:rFonts w:hint="eastAsia"/>
          <w:b/>
          <w:bCs/>
          <w:color w:val="auto"/>
        </w:rPr>
        <w:t>磋商文件中，凡标有“★”的地方，供应商要特别加以注意，必须对此作出一一响应。若有一项带“★”的指标未响应或不满足，将对其响应文件作无效处理。（注：若磋商小组在磋商过程中对磋商文件作出了实质性变动，本条中的磋商文件指变动后的磋商文件）</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关于分公司磋商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分公司作为响应供应商的，需提供具有法人资格的总公司的营业执照副本复印件及授权书。总公司可就本项目或此类项目在一定范围或时间内出具唯一的磋商授权书。已由总公司授权的，总公司取得的相关资质证书对分公司有效，但总公司及总公司下属其他分公司的人员及业绩不作为响应供应商的人员或业绩；若磋商文件另有详细规定的遵从其规定。</w:t>
      </w:r>
    </w:p>
    <w:p>
      <w:pPr>
        <w:numPr>
          <w:ilvl w:val="1"/>
          <w:numId w:val="7"/>
        </w:numPr>
        <w:tabs>
          <w:tab w:val="left" w:pos="567"/>
          <w:tab w:val="left" w:pos="851"/>
          <w:tab w:val="left" w:pos="992"/>
        </w:tabs>
        <w:snapToGrid w:val="0"/>
        <w:spacing w:line="360" w:lineRule="auto"/>
        <w:ind w:left="567" w:hanging="567"/>
        <w:rPr>
          <w:rFonts w:ascii="宋体" w:hAnsi="宋体"/>
          <w:color w:val="auto"/>
          <w:szCs w:val="21"/>
        </w:rPr>
      </w:pPr>
      <w:r>
        <w:rPr>
          <w:rFonts w:hint="eastAsia" w:ascii="宋体" w:hAnsi="宋体"/>
          <w:color w:val="auto"/>
          <w:szCs w:val="21"/>
        </w:rPr>
        <w:t>总公司作为供应商参与，但授权分公司进行磋商活动的，需由总公司对分公司出具唯一的授权授章书进行磋商。</w:t>
      </w:r>
    </w:p>
    <w:p>
      <w:pPr>
        <w:numPr>
          <w:ilvl w:val="0"/>
          <w:numId w:val="7"/>
        </w:numPr>
        <w:tabs>
          <w:tab w:val="left" w:pos="567"/>
          <w:tab w:val="left" w:pos="851"/>
        </w:tabs>
        <w:snapToGrid w:val="0"/>
        <w:spacing w:line="360" w:lineRule="auto"/>
        <w:rPr>
          <w:rFonts w:ascii="宋体"/>
          <w:b/>
          <w:color w:val="auto"/>
          <w:sz w:val="24"/>
        </w:rPr>
      </w:pPr>
      <w:bookmarkStart w:id="51" w:name="_Toc357161069"/>
      <w:bookmarkStart w:id="52" w:name="_Toc307881272"/>
      <w:bookmarkStart w:id="53" w:name="_Toc325537971"/>
      <w:r>
        <w:rPr>
          <w:rFonts w:hint="eastAsia" w:ascii="宋体"/>
          <w:b/>
          <w:color w:val="auto"/>
          <w:sz w:val="24"/>
        </w:rPr>
        <w:t>关于联合体磋商</w:t>
      </w:r>
    </w:p>
    <w:p>
      <w:pPr>
        <w:snapToGrid w:val="0"/>
        <w:spacing w:line="360" w:lineRule="auto"/>
        <w:ind w:left="566" w:leftChars="269" w:hanging="1"/>
        <w:rPr>
          <w:color w:val="auto"/>
        </w:rPr>
      </w:pPr>
      <w:r>
        <w:rPr>
          <w:rFonts w:hint="eastAsia"/>
          <w:color w:val="auto"/>
        </w:rPr>
        <w:t>若磋商邀请允许联合体磋商的，则必须满足：</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两个以上供应商可以组成一个联合体参与磋商，以一个供应商的身份参与。</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联合体各方均应当符合《政府采购法》第二十二条第一款规定的条件，根据采购项目的特殊要求规定供应商特定条件的，联合体各方中至少应有一方符合采购人规定的特定条件。</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联合体磋商的，必须提供各方签订的共同磋商协议，明确约定各方承担的工作和相应的责任。联合体各方签订共同磋商协议后，不得再以自己名义单独在同一项目中磋商，也不得组成新的联合体参加同一项目磋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联合体磋商的，可以由联合体中的一方或者共同提交磋商保证金，以一方名义提交磋商保证金的，对联合体各方均具有约束力。</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联合体获得成交资格的，联合体各方应当共同与采购人签订合同。</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同一专业的单位组成的联合体，按照同一项资质等级较低的单位确定资质等级。</w:t>
      </w:r>
    </w:p>
    <w:p>
      <w:pPr>
        <w:numPr>
          <w:ilvl w:val="0"/>
          <w:numId w:val="7"/>
        </w:numPr>
        <w:tabs>
          <w:tab w:val="left" w:pos="567"/>
          <w:tab w:val="left" w:pos="851"/>
        </w:tabs>
        <w:snapToGrid w:val="0"/>
        <w:spacing w:line="360" w:lineRule="auto"/>
        <w:rPr>
          <w:rFonts w:ascii="宋体" w:hAnsi="宋体"/>
          <w:b/>
          <w:bCs/>
          <w:color w:val="auto"/>
          <w:szCs w:val="21"/>
        </w:rPr>
      </w:pPr>
      <w:r>
        <w:rPr>
          <w:rFonts w:hint="eastAsia" w:ascii="宋体" w:hAnsi="宋体"/>
          <w:b/>
          <w:bCs/>
          <w:color w:val="auto"/>
          <w:szCs w:val="21"/>
        </w:rPr>
        <w:t>关于关联企业</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ascii="宋体" w:hAnsi="宋体"/>
          <w:color w:val="auto"/>
          <w:szCs w:val="21"/>
        </w:rPr>
        <w:t>单位负责人为同一人或者存在直接控股、管理关系的不同供应商，</w:t>
      </w:r>
      <w:r>
        <w:rPr>
          <w:rFonts w:hint="eastAsia" w:ascii="宋体" w:hAnsi="宋体"/>
          <w:color w:val="auto"/>
          <w:szCs w:val="21"/>
        </w:rPr>
        <w:t>不得参加同一包组磋商或者未划分包组的同一采购项目的</w:t>
      </w:r>
      <w:r>
        <w:rPr>
          <w:rFonts w:ascii="宋体" w:hAnsi="宋体"/>
          <w:color w:val="auto"/>
          <w:szCs w:val="21"/>
        </w:rPr>
        <w:t>政府采购活动</w:t>
      </w:r>
      <w:r>
        <w:rPr>
          <w:rFonts w:hint="eastAsia" w:ascii="宋体" w:hAnsi="宋体"/>
          <w:color w:val="auto"/>
          <w:szCs w:val="21"/>
        </w:rPr>
        <w:t>。如同时参加，评审时均作无效响应处理。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彼此存在投资与被投资关系的，不得参与同一采购项目竞争。如同时参加，评审时均作无效响应处理。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彼此的经营者、董事会（或同类管理机构）成员属于直系亲属或配偶关系的，不得参与同一采购项目竞争。如同时参加，评审时均作无效响应处理。</w:t>
      </w:r>
    </w:p>
    <w:p>
      <w:pPr>
        <w:numPr>
          <w:ilvl w:val="0"/>
          <w:numId w:val="7"/>
        </w:numPr>
        <w:tabs>
          <w:tab w:val="left" w:pos="567"/>
          <w:tab w:val="left" w:pos="851"/>
        </w:tabs>
        <w:snapToGrid w:val="0"/>
        <w:spacing w:line="360" w:lineRule="auto"/>
        <w:rPr>
          <w:rFonts w:ascii="宋体" w:hAnsi="宋体"/>
          <w:b/>
          <w:bCs/>
          <w:color w:val="auto"/>
          <w:szCs w:val="21"/>
        </w:rPr>
      </w:pPr>
      <w:r>
        <w:rPr>
          <w:rFonts w:hint="eastAsia" w:ascii="宋体" w:hAnsi="宋体"/>
          <w:b/>
          <w:bCs/>
          <w:color w:val="auto"/>
          <w:szCs w:val="21"/>
        </w:rPr>
        <w:t>关于提供前期服务的供应商</w:t>
      </w:r>
    </w:p>
    <w:p>
      <w:pPr>
        <w:tabs>
          <w:tab w:val="left" w:pos="567"/>
        </w:tabs>
        <w:snapToGrid w:val="0"/>
        <w:spacing w:line="360" w:lineRule="auto"/>
        <w:ind w:left="567" w:leftChars="270"/>
        <w:rPr>
          <w:rFonts w:ascii="宋体" w:hAnsi="宋体"/>
          <w:color w:val="auto"/>
          <w:szCs w:val="21"/>
        </w:rPr>
      </w:pPr>
      <w:r>
        <w:rPr>
          <w:rFonts w:ascii="宋体" w:hAnsi="宋体"/>
          <w:color w:val="auto"/>
          <w:szCs w:val="21"/>
        </w:rPr>
        <w:t>为采购项目提供整体设计、规范编制或者项目管理、监理、检测等服务的供应商，不得再参加该采购项目的其他采购活动。</w:t>
      </w:r>
    </w:p>
    <w:p>
      <w:pPr>
        <w:numPr>
          <w:ilvl w:val="0"/>
          <w:numId w:val="7"/>
        </w:numPr>
        <w:tabs>
          <w:tab w:val="left" w:pos="567"/>
          <w:tab w:val="left" w:pos="851"/>
        </w:tabs>
        <w:snapToGrid w:val="0"/>
        <w:spacing w:line="360" w:lineRule="auto"/>
        <w:rPr>
          <w:rFonts w:ascii="宋体" w:hAnsi="宋体"/>
          <w:b/>
          <w:bCs/>
          <w:color w:val="auto"/>
          <w:szCs w:val="21"/>
        </w:rPr>
      </w:pPr>
      <w:r>
        <w:rPr>
          <w:rFonts w:hint="eastAsia" w:ascii="宋体" w:hAnsi="宋体"/>
          <w:b/>
          <w:bCs/>
          <w:color w:val="auto"/>
          <w:szCs w:val="21"/>
        </w:rPr>
        <w:t>关于中型、小型、微型企业参与磋商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根据财政部、工业和信息化部印发的《政府采购促进中小企业发展暂行办法》（财库[2011]181号）的规定，对小型和微型企业产品的价格给予6%的扣除，用扣除后的价格参与评审；报价产品中仅有部分小型和微型企业产品的，则按所报小型和微型企业产品的价格予以扣除。</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《政府采购促进中小企业发展暂行办法》所称中小企业（含中型、小型、微型企业，下同）应当同时符合以下条件：</w:t>
      </w:r>
    </w:p>
    <w:p>
      <w:pPr>
        <w:numPr>
          <w:ilvl w:val="0"/>
          <w:numId w:val="8"/>
        </w:numPr>
        <w:snapToGrid w:val="0"/>
        <w:spacing w:line="360" w:lineRule="auto"/>
        <w:ind w:left="1134" w:hanging="613"/>
        <w:rPr>
          <w:rFonts w:ascii="宋体" w:hAnsi="宋体"/>
          <w:b/>
          <w:bCs/>
          <w:color w:val="auto"/>
          <w:szCs w:val="21"/>
        </w:rPr>
      </w:pPr>
      <w:r>
        <w:rPr>
          <w:rFonts w:hint="eastAsia" w:ascii="宋体" w:hAnsi="宋体"/>
          <w:color w:val="auto"/>
          <w:szCs w:val="21"/>
        </w:rPr>
        <w:t>符合中小企业划分标准；</w:t>
      </w:r>
    </w:p>
    <w:p>
      <w:pPr>
        <w:numPr>
          <w:ilvl w:val="0"/>
          <w:numId w:val="8"/>
        </w:numPr>
        <w:snapToGrid w:val="0"/>
        <w:spacing w:line="360" w:lineRule="auto"/>
        <w:ind w:left="1134" w:hanging="613"/>
        <w:rPr>
          <w:rFonts w:ascii="宋体" w:hAnsi="宋体"/>
          <w:color w:val="auto"/>
          <w:szCs w:val="21"/>
        </w:rPr>
      </w:pPr>
      <w:r>
        <w:rPr>
          <w:rFonts w:hint="eastAsia" w:ascii="宋体" w:hAnsi="宋体"/>
          <w:color w:val="auto"/>
          <w:szCs w:val="21"/>
        </w:rPr>
        <w:t>提供本企业制造的货物、承担的工程或者服务，或者提供其他中小企业制造的货物。本项所称货物不包括使用大型企业注册商标的货物。</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《政府采购促进中小企业发展暂行办法》所称中小企业划分标准，是指国务院有关部门根据企业从业人员、营业收入、资产总额等指标制定的中小企业划型标准。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小型、微型企业提供中型企业制造的货物的，视同为中型企业。</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中小微企业参与磋商应提供《中小微企业声明函》。根据财库〔2014〕68号《财政部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与磋商提供由省级以上监狱管理局、戒毒管理局(含新疆生产建设兵团)出具的属于监狱企业的证明文件，不再提供《中小微企业声明函》。</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根据</w:t>
      </w:r>
      <w:bookmarkStart w:id="54" w:name="sendNo"/>
      <w:r>
        <w:rPr>
          <w:rFonts w:hint="eastAsia" w:ascii="宋体" w:hAnsi="宋体"/>
          <w:color w:val="auto"/>
          <w:szCs w:val="21"/>
        </w:rPr>
        <w:t>财库〔</w:t>
      </w:r>
      <w:bookmarkEnd w:id="54"/>
      <w:r>
        <w:rPr>
          <w:rFonts w:hint="eastAsia" w:ascii="宋体" w:hAnsi="宋体"/>
          <w:color w:val="auto"/>
          <w:szCs w:val="21"/>
        </w:rPr>
        <w:t>2017〕141号《</w:t>
      </w:r>
      <w:r>
        <w:rPr>
          <w:rFonts w:ascii="宋体" w:hAnsi="宋体"/>
          <w:color w:val="auto"/>
          <w:szCs w:val="21"/>
        </w:rPr>
        <w:t>三部门联合发布关于促进残疾人就业政府采购政策的通知</w:t>
      </w:r>
      <w:r>
        <w:rPr>
          <w:rFonts w:hint="eastAsia" w:ascii="宋体" w:hAnsi="宋体"/>
          <w:color w:val="auto"/>
          <w:szCs w:val="21"/>
        </w:rPr>
        <w:t>》，符合条件的残疾人福利性单位在参加政府采购活动时，应当提供《残疾人福利性单位声明函》，并对声明的真实性负责。残疾人福利性单位视同小型、微型企业，享受评审中价格扣除的政府采购政策。成交供应商为残疾人福利性单位的，采购人或者其委托的采购代理机构应当随中标、成交结果同时公告其《残疾人福利性单位声明函》，接受社会监督。</w:t>
      </w:r>
    </w:p>
    <w:bookmarkEnd w:id="51"/>
    <w:p>
      <w:pPr>
        <w:numPr>
          <w:ilvl w:val="0"/>
          <w:numId w:val="7"/>
        </w:numPr>
        <w:tabs>
          <w:tab w:val="left" w:pos="567"/>
          <w:tab w:val="left" w:pos="851"/>
        </w:tabs>
        <w:snapToGrid w:val="0"/>
        <w:spacing w:line="360" w:lineRule="auto"/>
        <w:ind w:left="567" w:hanging="567"/>
        <w:rPr>
          <w:rFonts w:ascii="宋体" w:hAnsi="宋体"/>
          <w:b/>
          <w:bCs/>
          <w:color w:val="auto"/>
          <w:szCs w:val="21"/>
        </w:rPr>
      </w:pPr>
      <w:r>
        <w:rPr>
          <w:rFonts w:hint="eastAsia" w:ascii="宋体" w:hAnsi="宋体"/>
          <w:b/>
          <w:bCs/>
          <w:color w:val="auto"/>
          <w:szCs w:val="21"/>
        </w:rPr>
        <w:t>关于多家代理商代理一家制造商的产品参加磋商</w:t>
      </w:r>
    </w:p>
    <w:p>
      <w:pPr>
        <w:snapToGrid w:val="0"/>
        <w:spacing w:line="360" w:lineRule="auto"/>
        <w:ind w:left="567"/>
        <w:rPr>
          <w:rFonts w:ascii="宋体" w:hAnsi="宋体"/>
          <w:bCs/>
          <w:color w:val="auto"/>
          <w:szCs w:val="21"/>
        </w:rPr>
      </w:pPr>
      <w:r>
        <w:rPr>
          <w:rFonts w:hint="eastAsia" w:ascii="宋体" w:hAnsi="宋体"/>
          <w:bCs/>
          <w:color w:val="auto"/>
          <w:szCs w:val="21"/>
        </w:rPr>
        <w:t>符合采购人需求的品牌或者符合资格条件的生产制造商至少应达到三个品牌或三个制造商参与竞争，同一品牌同一型号产品可由多家代理商参加竞争，但只作为一个供应商计算。</w:t>
      </w:r>
    </w:p>
    <w:bookmarkEnd w:id="52"/>
    <w:bookmarkEnd w:id="53"/>
    <w:p>
      <w:pPr>
        <w:numPr>
          <w:ilvl w:val="0"/>
          <w:numId w:val="7"/>
        </w:numPr>
        <w:tabs>
          <w:tab w:val="left" w:pos="567"/>
          <w:tab w:val="left" w:pos="851"/>
        </w:tabs>
        <w:snapToGrid w:val="0"/>
        <w:spacing w:line="360" w:lineRule="auto"/>
        <w:rPr>
          <w:rFonts w:ascii="宋体"/>
          <w:b/>
          <w:color w:val="auto"/>
          <w:sz w:val="24"/>
        </w:rPr>
      </w:pPr>
      <w:bookmarkStart w:id="55" w:name="_Toc111890780"/>
      <w:r>
        <w:rPr>
          <w:rFonts w:hint="eastAsia" w:ascii="宋体"/>
          <w:b/>
          <w:color w:val="auto"/>
          <w:sz w:val="24"/>
        </w:rPr>
        <w:t>磋商文件的解释权</w:t>
      </w:r>
    </w:p>
    <w:p>
      <w:pPr>
        <w:snapToGrid w:val="0"/>
        <w:spacing w:line="360" w:lineRule="auto"/>
        <w:ind w:left="426"/>
        <w:rPr>
          <w:b/>
          <w:color w:val="auto"/>
          <w:kern w:val="0"/>
        </w:rPr>
      </w:pPr>
      <w:r>
        <w:rPr>
          <w:rFonts w:hint="eastAsia"/>
          <w:b/>
          <w:color w:val="auto"/>
          <w:kern w:val="0"/>
        </w:rPr>
        <w:t>本磋商文件的解释权归“广东熙泽企业管理有限公司”所有。</w:t>
      </w:r>
    </w:p>
    <w:p>
      <w:pPr>
        <w:pStyle w:val="4"/>
        <w:ind w:firstLine="0"/>
        <w:jc w:val="center"/>
        <w:rPr>
          <w:color w:val="auto"/>
          <w:sz w:val="28"/>
          <w:szCs w:val="28"/>
        </w:rPr>
      </w:pPr>
      <w:bookmarkStart w:id="56" w:name="_Toc12451"/>
      <w:bookmarkStart w:id="57" w:name="_Toc337541096"/>
      <w:bookmarkStart w:id="58" w:name="_Toc9605"/>
      <w:bookmarkStart w:id="59" w:name="_Toc7588"/>
      <w:bookmarkStart w:id="60" w:name="_Toc18934972"/>
      <w:bookmarkStart w:id="61" w:name="_Toc18935114"/>
      <w:bookmarkStart w:id="62" w:name="_Toc469663672"/>
      <w:bookmarkStart w:id="63" w:name="_Toc9626"/>
      <w:bookmarkStart w:id="64" w:name="_Toc31303"/>
      <w:r>
        <w:rPr>
          <w:rFonts w:hint="eastAsia"/>
          <w:color w:val="auto"/>
          <w:sz w:val="28"/>
          <w:szCs w:val="28"/>
        </w:rPr>
        <w:t>（二）磋商文件</w:t>
      </w:r>
      <w:bookmarkEnd w:id="55"/>
      <w:bookmarkEnd w:id="56"/>
      <w:bookmarkEnd w:id="57"/>
      <w:bookmarkEnd w:id="58"/>
      <w:bookmarkEnd w:id="59"/>
      <w:bookmarkEnd w:id="60"/>
      <w:bookmarkEnd w:id="61"/>
      <w:bookmarkEnd w:id="62"/>
      <w:bookmarkEnd w:id="63"/>
      <w:bookmarkEnd w:id="64"/>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磋商文件构成</w:t>
      </w:r>
    </w:p>
    <w:p>
      <w:pPr>
        <w:snapToGrid w:val="0"/>
        <w:spacing w:line="360" w:lineRule="auto"/>
        <w:ind w:left="420" w:leftChars="200" w:firstLine="147" w:firstLineChars="70"/>
        <w:rPr>
          <w:rFonts w:ascii="宋体"/>
          <w:color w:val="auto"/>
        </w:rPr>
      </w:pPr>
      <w:r>
        <w:rPr>
          <w:rFonts w:hint="eastAsia" w:ascii="宋体"/>
          <w:color w:val="auto"/>
        </w:rPr>
        <w:t>要求提供的服务、磋商过程和合同条件在磋商文件中均有说明。磋商文件包括：</w:t>
      </w:r>
    </w:p>
    <w:p>
      <w:pPr>
        <w:numPr>
          <w:ilvl w:val="0"/>
          <w:numId w:val="9"/>
        </w:numPr>
        <w:tabs>
          <w:tab w:val="left" w:pos="1080"/>
        </w:tabs>
        <w:snapToGrid w:val="0"/>
        <w:spacing w:line="360" w:lineRule="auto"/>
        <w:ind w:firstLine="289"/>
        <w:rPr>
          <w:rFonts w:ascii="宋体"/>
          <w:color w:val="auto"/>
        </w:rPr>
      </w:pPr>
      <w:r>
        <w:rPr>
          <w:rFonts w:hint="eastAsia" w:ascii="宋体"/>
          <w:color w:val="auto"/>
        </w:rPr>
        <w:t>磋商邀请；</w:t>
      </w:r>
    </w:p>
    <w:p>
      <w:pPr>
        <w:numPr>
          <w:ilvl w:val="0"/>
          <w:numId w:val="9"/>
        </w:numPr>
        <w:tabs>
          <w:tab w:val="left" w:pos="1080"/>
        </w:tabs>
        <w:snapToGrid w:val="0"/>
        <w:spacing w:line="360" w:lineRule="auto"/>
        <w:ind w:firstLine="289"/>
        <w:rPr>
          <w:rFonts w:ascii="宋体"/>
          <w:color w:val="auto"/>
        </w:rPr>
      </w:pPr>
      <w:r>
        <w:rPr>
          <w:rFonts w:hint="eastAsia" w:ascii="宋体"/>
          <w:color w:val="auto"/>
        </w:rPr>
        <w:t>磋商须知；</w:t>
      </w:r>
    </w:p>
    <w:p>
      <w:pPr>
        <w:numPr>
          <w:ilvl w:val="0"/>
          <w:numId w:val="9"/>
        </w:numPr>
        <w:tabs>
          <w:tab w:val="left" w:pos="1080"/>
        </w:tabs>
        <w:snapToGrid w:val="0"/>
        <w:spacing w:line="360" w:lineRule="auto"/>
        <w:ind w:firstLine="289"/>
        <w:rPr>
          <w:rFonts w:ascii="宋体"/>
          <w:color w:val="auto"/>
        </w:rPr>
      </w:pPr>
      <w:r>
        <w:rPr>
          <w:rFonts w:hint="eastAsia" w:ascii="宋体"/>
          <w:color w:val="auto"/>
        </w:rPr>
        <w:t>用户需求；</w:t>
      </w:r>
    </w:p>
    <w:p>
      <w:pPr>
        <w:numPr>
          <w:ilvl w:val="0"/>
          <w:numId w:val="9"/>
        </w:numPr>
        <w:tabs>
          <w:tab w:val="left" w:pos="1080"/>
        </w:tabs>
        <w:snapToGrid w:val="0"/>
        <w:spacing w:line="360" w:lineRule="auto"/>
        <w:ind w:firstLine="289"/>
        <w:rPr>
          <w:rFonts w:ascii="宋体"/>
          <w:color w:val="auto"/>
        </w:rPr>
      </w:pPr>
      <w:r>
        <w:rPr>
          <w:rFonts w:hint="eastAsia" w:ascii="宋体"/>
          <w:color w:val="auto"/>
        </w:rPr>
        <w:t>评审办法；</w:t>
      </w:r>
    </w:p>
    <w:p>
      <w:pPr>
        <w:numPr>
          <w:ilvl w:val="0"/>
          <w:numId w:val="9"/>
        </w:numPr>
        <w:tabs>
          <w:tab w:val="left" w:pos="1080"/>
        </w:tabs>
        <w:snapToGrid w:val="0"/>
        <w:spacing w:line="360" w:lineRule="auto"/>
        <w:ind w:firstLine="289"/>
        <w:rPr>
          <w:color w:val="auto"/>
        </w:rPr>
      </w:pPr>
      <w:r>
        <w:rPr>
          <w:rFonts w:hint="eastAsia" w:ascii="宋体"/>
          <w:color w:val="auto"/>
        </w:rPr>
        <w:t>合同文本；</w:t>
      </w:r>
    </w:p>
    <w:p>
      <w:pPr>
        <w:numPr>
          <w:ilvl w:val="0"/>
          <w:numId w:val="9"/>
        </w:numPr>
        <w:tabs>
          <w:tab w:val="left" w:pos="1080"/>
        </w:tabs>
        <w:snapToGrid w:val="0"/>
        <w:spacing w:line="360" w:lineRule="auto"/>
        <w:ind w:firstLine="289"/>
        <w:rPr>
          <w:rFonts w:ascii="宋体"/>
          <w:color w:val="auto"/>
        </w:rPr>
      </w:pPr>
      <w:r>
        <w:rPr>
          <w:rFonts w:hint="eastAsia" w:ascii="宋体"/>
          <w:color w:val="auto"/>
        </w:rPr>
        <w:t>响应文件格式；</w:t>
      </w:r>
    </w:p>
    <w:p>
      <w:pPr>
        <w:numPr>
          <w:ilvl w:val="0"/>
          <w:numId w:val="9"/>
        </w:numPr>
        <w:tabs>
          <w:tab w:val="left" w:pos="1080"/>
        </w:tabs>
        <w:snapToGrid w:val="0"/>
        <w:spacing w:line="360" w:lineRule="auto"/>
        <w:ind w:firstLine="289"/>
        <w:rPr>
          <w:rFonts w:ascii="宋体"/>
          <w:color w:val="auto"/>
        </w:rPr>
      </w:pPr>
      <w:r>
        <w:rPr>
          <w:rFonts w:hint="eastAsia" w:ascii="宋体"/>
          <w:color w:val="auto"/>
        </w:rPr>
        <w:t>磋商过程中发生的澄清、修改和补充文件（如有）。</w:t>
      </w:r>
    </w:p>
    <w:p>
      <w:pPr>
        <w:numPr>
          <w:ilvl w:val="0"/>
          <w:numId w:val="7"/>
        </w:numPr>
        <w:tabs>
          <w:tab w:val="left" w:pos="567"/>
          <w:tab w:val="left" w:pos="851"/>
        </w:tabs>
        <w:snapToGrid w:val="0"/>
        <w:spacing w:line="360" w:lineRule="auto"/>
        <w:ind w:left="567" w:hanging="567"/>
        <w:rPr>
          <w:rFonts w:ascii="宋体"/>
          <w:color w:val="auto"/>
          <w:szCs w:val="21"/>
        </w:rPr>
      </w:pPr>
      <w:r>
        <w:rPr>
          <w:rFonts w:hint="eastAsia" w:ascii="宋体"/>
          <w:color w:val="auto"/>
          <w:szCs w:val="21"/>
        </w:rPr>
        <w:t>供应商应认真阅读、并充分理解磋商文件的全部内容（包括所有的补充、修改内容、重要事项、格式、条款和技术规范、参数及要求等）。供应商没有按照磋商文件要求提交全部资料，或者响应文件没有对磋商文件在各方面都作出实质性响应是供应商的风险，有可能导致其磋商响应被拒绝，或被确定为响应无效。</w:t>
      </w:r>
    </w:p>
    <w:p>
      <w:pPr>
        <w:numPr>
          <w:ilvl w:val="0"/>
          <w:numId w:val="7"/>
        </w:numPr>
        <w:tabs>
          <w:tab w:val="left" w:pos="567"/>
          <w:tab w:val="left" w:pos="851"/>
        </w:tabs>
        <w:snapToGrid w:val="0"/>
        <w:spacing w:line="360" w:lineRule="auto"/>
        <w:rPr>
          <w:rFonts w:ascii="宋体"/>
          <w:b/>
          <w:color w:val="auto"/>
          <w:szCs w:val="21"/>
        </w:rPr>
      </w:pPr>
      <w:r>
        <w:rPr>
          <w:rFonts w:hint="eastAsia" w:ascii="宋体"/>
          <w:b/>
          <w:color w:val="auto"/>
          <w:szCs w:val="21"/>
        </w:rPr>
        <w:t>磋商文件的澄清和修改</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提交首次响应文件截止之日前，采购人、采购代理机构可以对已发出的磋商文件进行必要的澄清或者修改，澄清或者修改的内容作为磋商文件的组成部分。澄清或者修改的内容可能影响响应文件编制的， 当顺延提交首次响应文件截止时间。潜在供应商在收到上述通知后，应立即以书面形式向招标采购单位确认。如在24小时之内无书面回复则视为同意澄清或者修改的内容，并有责任履行相应的义务。如采购代理机构在征得所有已购买磋商文件的潜在供应商同意并书面确认后，可以不改变首次响应文件提交截止时间和磋商时间。</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为提高竞争性磋商的效率，供应商对磋商文件提出质疑的，应在获取纸质磋商文件之日起七个工作日内、磋商文件公示期间（</w:t>
      </w:r>
      <w:r>
        <w:rPr>
          <w:rFonts w:hint="eastAsia" w:ascii="宋体" w:hAnsi="宋体"/>
          <w:color w:val="auto"/>
        </w:rPr>
        <w:t>竞争性磋商公告期限</w:t>
      </w:r>
      <w:r>
        <w:rPr>
          <w:rFonts w:hint="eastAsia" w:ascii="宋体" w:hAnsi="宋体"/>
          <w:color w:val="auto"/>
          <w:szCs w:val="21"/>
        </w:rPr>
        <w:t>—5个工作日）或期满之日起七个工作日内将质疑书以书面原件形式（加盖单位公章，电话咨询或传真或电邮形式无效）当面递交至采购代理机构或采购人，逾期质疑无效。质疑书应包括的内容：具体的质疑事项、事实依据及相关确凿的证明材料、明确的请求、供应商名称及地址、授权代表姓名及其联系电话、质疑时间。质疑书应当署名并由法定代表人或授权代表签字并加盖公章。供应商提交质疑书时需提供质疑书原件、法定代表人授权委托书（应载明委托代理的具体权限及事项）及授权代表身份证复印件。未在规定的时间内提出质疑的则视为供应商已充分认识和理解了任何与本项目有关的影响事项和困难、风险等情况，并愿意按照本磋商文件的所有条款执行。</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对磋商文件中描述有歧义或前后不一致的地方，磋商小组有权进行评判，但对同一条款的评判应适用于每个供应商。</w:t>
      </w:r>
    </w:p>
    <w:p>
      <w:pPr>
        <w:numPr>
          <w:ilvl w:val="0"/>
          <w:numId w:val="7"/>
        </w:numPr>
        <w:tabs>
          <w:tab w:val="left" w:pos="567"/>
          <w:tab w:val="left" w:pos="851"/>
        </w:tabs>
        <w:snapToGrid w:val="0"/>
        <w:spacing w:line="360" w:lineRule="auto"/>
        <w:rPr>
          <w:rFonts w:ascii="宋体"/>
          <w:b/>
          <w:color w:val="auto"/>
          <w:szCs w:val="21"/>
        </w:rPr>
      </w:pPr>
      <w:r>
        <w:rPr>
          <w:rFonts w:hint="eastAsia" w:ascii="宋体"/>
          <w:b/>
          <w:color w:val="auto"/>
          <w:szCs w:val="21"/>
        </w:rPr>
        <w:t>答疑会或现场考察</w:t>
      </w:r>
    </w:p>
    <w:p>
      <w:pPr>
        <w:snapToGrid w:val="0"/>
        <w:spacing w:line="360" w:lineRule="auto"/>
        <w:ind w:left="567" w:leftChars="270"/>
        <w:rPr>
          <w:color w:val="auto"/>
        </w:rPr>
      </w:pPr>
      <w:bookmarkStart w:id="65" w:name="_Toc111890781"/>
      <w:bookmarkStart w:id="66" w:name="_Toc337541097"/>
      <w:r>
        <w:rPr>
          <w:rFonts w:hint="eastAsia" w:ascii="宋体"/>
          <w:color w:val="auto"/>
          <w:szCs w:val="21"/>
        </w:rPr>
        <w:t>详见磋商须知前附表第3项。</w:t>
      </w:r>
    </w:p>
    <w:p>
      <w:pPr>
        <w:pStyle w:val="4"/>
        <w:jc w:val="center"/>
        <w:rPr>
          <w:color w:val="auto"/>
          <w:sz w:val="24"/>
          <w:szCs w:val="24"/>
        </w:rPr>
      </w:pPr>
      <w:bookmarkStart w:id="67" w:name="_Toc469663673"/>
      <w:bookmarkStart w:id="68" w:name="_Toc25378"/>
      <w:bookmarkStart w:id="69" w:name="_Toc10024"/>
      <w:bookmarkStart w:id="70" w:name="_Toc18935115"/>
      <w:bookmarkStart w:id="71" w:name="_Toc1978"/>
      <w:bookmarkStart w:id="72" w:name="_Toc19905"/>
      <w:bookmarkStart w:id="73" w:name="_Toc18934973"/>
      <w:bookmarkStart w:id="74" w:name="_Toc24101"/>
      <w:r>
        <w:rPr>
          <w:rFonts w:hint="eastAsia"/>
          <w:color w:val="auto"/>
          <w:sz w:val="24"/>
          <w:szCs w:val="24"/>
        </w:rPr>
        <w:t>（三）响应文件的编制</w:t>
      </w:r>
      <w:bookmarkEnd w:id="65"/>
      <w:bookmarkEnd w:id="66"/>
      <w:bookmarkEnd w:id="67"/>
      <w:bookmarkEnd w:id="68"/>
      <w:bookmarkEnd w:id="69"/>
      <w:bookmarkEnd w:id="70"/>
      <w:bookmarkEnd w:id="71"/>
      <w:bookmarkEnd w:id="72"/>
      <w:bookmarkEnd w:id="73"/>
      <w:bookmarkEnd w:id="74"/>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响应文件的构成</w:t>
      </w:r>
    </w:p>
    <w:p>
      <w:pPr>
        <w:snapToGrid w:val="0"/>
        <w:spacing w:line="360" w:lineRule="auto"/>
        <w:ind w:left="567" w:leftChars="270"/>
        <w:rPr>
          <w:rFonts w:ascii="宋体"/>
          <w:color w:val="auto"/>
        </w:rPr>
      </w:pPr>
      <w:r>
        <w:rPr>
          <w:rFonts w:hint="eastAsia" w:ascii="宋体"/>
          <w:color w:val="auto"/>
        </w:rPr>
        <w:t>供应商编写的响应文件</w:t>
      </w:r>
      <w:r>
        <w:rPr>
          <w:rFonts w:hint="eastAsia" w:ascii="宋体" w:hAnsi="宋体"/>
          <w:color w:val="auto"/>
          <w:szCs w:val="21"/>
        </w:rPr>
        <w:t>应包括资格证明文件、商务文件和技术文件，编排顺序参见响应文件格式。资格证明文件、商务文件部分指供应商提交的证明其有资格参加磋商和成交后有能力履行合同的文件。技术方案说明部分是能够证明供应商提供的货物及服务符合磋商文件规定的文件。供应商应按规定提交资格证明文件、商务文件部分和技术文件。</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磋商费用</w:t>
      </w:r>
    </w:p>
    <w:p>
      <w:pPr>
        <w:snapToGrid w:val="0"/>
        <w:spacing w:line="360" w:lineRule="auto"/>
        <w:ind w:left="567" w:leftChars="270"/>
        <w:rPr>
          <w:rFonts w:ascii="宋体"/>
          <w:color w:val="auto"/>
        </w:rPr>
      </w:pPr>
      <w:r>
        <w:rPr>
          <w:rFonts w:hint="eastAsia" w:ascii="宋体"/>
          <w:color w:val="auto"/>
        </w:rPr>
        <w:t>供应商应承担所有与编写和提交响应文件有关的费用，不论磋商的结果如何，采购代理机构、采购人在任何情况下均无义务和责任承担这些费用。</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报价函</w:t>
      </w:r>
    </w:p>
    <w:p>
      <w:pPr>
        <w:snapToGrid w:val="0"/>
        <w:spacing w:line="360" w:lineRule="auto"/>
        <w:ind w:left="567" w:leftChars="270"/>
        <w:rPr>
          <w:rFonts w:ascii="宋体"/>
          <w:color w:val="auto"/>
        </w:rPr>
      </w:pPr>
      <w:r>
        <w:rPr>
          <w:rFonts w:hint="eastAsia" w:ascii="宋体"/>
          <w:color w:val="auto"/>
        </w:rPr>
        <w:t>供应商应完整地填写磋商文件格式中规定的报价函。</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报价说明</w:t>
      </w:r>
    </w:p>
    <w:p>
      <w:pPr>
        <w:numPr>
          <w:ilvl w:val="1"/>
          <w:numId w:val="7"/>
        </w:numPr>
        <w:tabs>
          <w:tab w:val="left" w:pos="426"/>
          <w:tab w:val="left" w:pos="567"/>
          <w:tab w:val="left" w:pos="709"/>
          <w:tab w:val="left" w:pos="851"/>
        </w:tabs>
        <w:snapToGrid w:val="0"/>
        <w:spacing w:line="360" w:lineRule="auto"/>
        <w:ind w:left="567" w:leftChars="-3" w:hanging="573" w:hangingChars="273"/>
        <w:rPr>
          <w:rFonts w:ascii="宋体" w:hAnsi="宋体"/>
          <w:color w:val="auto"/>
          <w:szCs w:val="21"/>
        </w:rPr>
      </w:pPr>
      <w:r>
        <w:rPr>
          <w:rFonts w:hint="eastAsia" w:ascii="宋体" w:hAnsi="宋体"/>
          <w:color w:val="auto"/>
          <w:szCs w:val="21"/>
        </w:rPr>
        <w:t>供应商应根据中标人所报折扣率乘以附件衣物洗涤价目表单价为品目单价，最终结算价以每月的实际洁衣数量计算洗涤付费（以每天双方签名的洗衣单为计数依据）。投标人报价超出投标文件报价要求的一率按废标处理，年服务总金额原则不得超过人民币202万元，特殊情况特殊处理。投标报价中必须包含医疗衣物被服洗涤、收送服务中所有成本、收发、运输、洗涤、包装、检验、完税、污衣袋供应和洗涤、供应、洗涤、收送等整个过程服务中的人工、运输工具、材料等以及不可预见的一切费用。</w:t>
      </w:r>
    </w:p>
    <w:p>
      <w:pPr>
        <w:numPr>
          <w:ilvl w:val="1"/>
          <w:numId w:val="7"/>
        </w:numPr>
        <w:tabs>
          <w:tab w:val="left" w:pos="851"/>
        </w:tabs>
        <w:snapToGrid w:val="0"/>
        <w:spacing w:line="360" w:lineRule="auto"/>
        <w:ind w:left="426" w:hanging="567"/>
        <w:rPr>
          <w:rFonts w:ascii="宋体" w:hAnsi="宋体"/>
          <w:color w:val="auto"/>
          <w:szCs w:val="21"/>
        </w:rPr>
      </w:pPr>
      <w:r>
        <w:rPr>
          <w:rFonts w:hint="eastAsia" w:ascii="宋体" w:hAnsi="宋体"/>
          <w:color w:val="auto"/>
          <w:szCs w:val="21"/>
        </w:rPr>
        <w:t>供应商所报的最后价格应为所投项目的最终报价，包含一切税费；供应商应自行增加正常运行及使用所必需但磋商文件没有包含的所有部件、工具、版权、专利等一切费用，如果供应商在成交并签署合同后，在项目实施等工作中出现任何遗漏，均由成交供应商免费提供，买方将不再支付任何费用。</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响应文件的编写原则</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语言：响应文件、供应商与采购代理机构就磋商交换的文件和来往信件，应以中文书写。供应商提供的支持文件、技术资料和印刷的文献可以用其他语言，但相应实质性内容须附有中文翻译本，并以中文为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计量单位：除在磋商文件的技术规格中另有规定外，计量单位应使用中华人民共和国法定计量单位(国际单位制和国家选定的其他计量单位)。</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供应商应保证所提供的所有资料的真实性、准确性、完整性。</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应当对响应文件进行装订，对未经装订的响应文件可能发生的文件散落或缺损，由此造成的后果和责任由供应商承担。若项目含有多个包组，且供应商参与对多个包组磋商的，建议其响应文件的编制按每个包组的要求分别装订和封装。</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供应商在采购过程中提供不真实的材料，无论其材料是否重要，采购人均有权拒绝，并取消供应商的成交资格，供应商需承担相应的后果及法律责任。</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本项目概不接受电报、电话、电子邮件、邮寄或传真形式提交的响应文件。</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证明供应商合格的资格文件</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应提交证明其有资格参加磋商和被确定为成交供应商后有能力履行合同的文件，以及证明其提供的合同项下，服务的合格性符合磋商文件规定的文件，并作为响应文件的一部分。如果供应商为联合体，应提交联合体各方的资格证明文件、共同磋商协议并注明主体方及各方拟承担的工作和责任。否则，将导致其磋商响应无效。</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供应商提交的资格证明文件应证明其来自本须知定义的合格的供应商。</w:t>
      </w:r>
    </w:p>
    <w:p>
      <w:pPr>
        <w:numPr>
          <w:ilvl w:val="0"/>
          <w:numId w:val="7"/>
        </w:numPr>
        <w:tabs>
          <w:tab w:val="left" w:pos="567"/>
          <w:tab w:val="left" w:pos="851"/>
        </w:tabs>
        <w:snapToGrid w:val="0"/>
        <w:spacing w:line="360" w:lineRule="auto"/>
        <w:rPr>
          <w:rFonts w:ascii="宋体"/>
          <w:b/>
          <w:color w:val="auto"/>
          <w:sz w:val="24"/>
        </w:rPr>
      </w:pPr>
      <w:r>
        <w:rPr>
          <w:rFonts w:ascii="宋体"/>
          <w:b/>
          <w:color w:val="auto"/>
          <w:sz w:val="24"/>
        </w:rPr>
        <w:t>关于保证金</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保证金为响应文件的组成部分，应在有关单据上注明项目编号。</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保证金用于保护本次磋商免受供应商的行为而引起的风险。</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供应商须按磋商文件中的磋商须知前附表第5项规定向采购代理机构交纳保证金。</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磋商保证金以银行转账方式或以保函形式提交。</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以银行转账方式提交的，请供应商按磋商须知前附表第5项将磋商保证金存进指定账户。</w:t>
      </w:r>
    </w:p>
    <w:p>
      <w:pPr>
        <w:spacing w:line="360" w:lineRule="auto"/>
        <w:rPr>
          <w:rFonts w:ascii="宋体" w:hAnsi="宋体"/>
          <w:color w:val="auto"/>
          <w:szCs w:val="21"/>
        </w:rPr>
      </w:pPr>
      <w:r>
        <w:rPr>
          <w:rFonts w:hint="eastAsia" w:ascii="宋体" w:hAnsi="宋体"/>
          <w:color w:val="auto"/>
        </w:rPr>
        <w:t xml:space="preserve">24.5.1 </w:t>
      </w:r>
      <w:r>
        <w:rPr>
          <w:rFonts w:hint="eastAsia" w:hAnsi="宋体"/>
          <w:color w:val="auto"/>
        </w:rPr>
        <w:t>采用银行保函提交的：</w:t>
      </w:r>
    </w:p>
    <w:p>
      <w:pPr>
        <w:numPr>
          <w:ilvl w:val="0"/>
          <w:numId w:val="10"/>
        </w:numPr>
        <w:tabs>
          <w:tab w:val="left" w:pos="993"/>
          <w:tab w:val="left" w:pos="1353"/>
        </w:tabs>
        <w:spacing w:line="360" w:lineRule="auto"/>
        <w:ind w:left="993" w:hanging="426"/>
        <w:rPr>
          <w:rFonts w:hAnsi="宋体"/>
          <w:color w:val="auto"/>
        </w:rPr>
      </w:pPr>
      <w:r>
        <w:rPr>
          <w:rFonts w:hint="eastAsia" w:hAnsi="宋体"/>
          <w:color w:val="auto"/>
        </w:rPr>
        <w:t>采用磋商文件提供的格式或招标采购单位接受的其他格式；</w:t>
      </w:r>
    </w:p>
    <w:p>
      <w:pPr>
        <w:numPr>
          <w:ilvl w:val="0"/>
          <w:numId w:val="10"/>
        </w:numPr>
        <w:tabs>
          <w:tab w:val="left" w:pos="993"/>
          <w:tab w:val="left" w:pos="1353"/>
        </w:tabs>
        <w:spacing w:line="360" w:lineRule="auto"/>
        <w:ind w:left="993" w:hanging="426"/>
        <w:rPr>
          <w:rFonts w:hAnsi="宋体"/>
          <w:color w:val="auto"/>
        </w:rPr>
      </w:pPr>
      <w:r>
        <w:rPr>
          <w:rFonts w:hint="eastAsia" w:hAnsi="宋体"/>
          <w:color w:val="auto"/>
        </w:rPr>
        <w:t>由中华人民共和国境内的银行出具的银行保函；</w:t>
      </w:r>
    </w:p>
    <w:p>
      <w:pPr>
        <w:numPr>
          <w:ilvl w:val="0"/>
          <w:numId w:val="10"/>
        </w:numPr>
        <w:tabs>
          <w:tab w:val="left" w:pos="993"/>
          <w:tab w:val="left" w:pos="1353"/>
        </w:tabs>
        <w:spacing w:line="360" w:lineRule="auto"/>
        <w:ind w:left="993" w:hanging="426"/>
        <w:rPr>
          <w:rFonts w:hAnsi="宋体"/>
          <w:color w:val="auto"/>
        </w:rPr>
      </w:pPr>
      <w:r>
        <w:rPr>
          <w:rFonts w:hint="eastAsia" w:hAnsi="宋体"/>
          <w:color w:val="auto"/>
        </w:rPr>
        <w:t>有效期超过磋商有效期30天。</w:t>
      </w:r>
    </w:p>
    <w:p>
      <w:pPr>
        <w:spacing w:line="360" w:lineRule="auto"/>
        <w:rPr>
          <w:rFonts w:ascii="宋体" w:hAnsi="宋体"/>
          <w:color w:val="auto"/>
        </w:rPr>
      </w:pPr>
      <w:r>
        <w:rPr>
          <w:rFonts w:hint="eastAsia" w:ascii="宋体" w:hAnsi="宋体"/>
          <w:color w:val="auto"/>
        </w:rPr>
        <w:t>24.5.2采用政府采购磋商担保函提交的：</w:t>
      </w:r>
    </w:p>
    <w:p>
      <w:pPr>
        <w:numPr>
          <w:ilvl w:val="0"/>
          <w:numId w:val="11"/>
        </w:numPr>
        <w:tabs>
          <w:tab w:val="left" w:pos="993"/>
          <w:tab w:val="left" w:pos="1353"/>
        </w:tabs>
        <w:spacing w:line="360" w:lineRule="auto"/>
        <w:ind w:left="993" w:hanging="426"/>
        <w:rPr>
          <w:rFonts w:hAnsi="宋体"/>
          <w:color w:val="auto"/>
        </w:rPr>
      </w:pPr>
      <w:r>
        <w:rPr>
          <w:rFonts w:hint="eastAsia" w:hAnsi="宋体"/>
          <w:color w:val="auto"/>
        </w:rPr>
        <w:t>采用磋商文件提供的格式或招标采购单位接受的其他格式；</w:t>
      </w:r>
    </w:p>
    <w:p>
      <w:pPr>
        <w:numPr>
          <w:ilvl w:val="0"/>
          <w:numId w:val="11"/>
        </w:numPr>
        <w:tabs>
          <w:tab w:val="left" w:pos="993"/>
          <w:tab w:val="left" w:pos="1353"/>
        </w:tabs>
        <w:spacing w:line="360" w:lineRule="auto"/>
        <w:ind w:left="993" w:hanging="426"/>
        <w:rPr>
          <w:rFonts w:hAnsi="宋体"/>
          <w:color w:val="auto"/>
        </w:rPr>
      </w:pPr>
      <w:r>
        <w:rPr>
          <w:rFonts w:hint="eastAsia" w:hAnsi="宋体"/>
          <w:color w:val="auto"/>
        </w:rPr>
        <w:t>由专业担保机构出具的政府采购磋商担保函；</w:t>
      </w:r>
    </w:p>
    <w:p>
      <w:pPr>
        <w:numPr>
          <w:ilvl w:val="0"/>
          <w:numId w:val="11"/>
        </w:numPr>
        <w:tabs>
          <w:tab w:val="left" w:pos="993"/>
          <w:tab w:val="left" w:pos="1353"/>
        </w:tabs>
        <w:spacing w:line="360" w:lineRule="auto"/>
        <w:ind w:left="993" w:hanging="426"/>
        <w:rPr>
          <w:rFonts w:hAnsi="宋体"/>
          <w:color w:val="auto"/>
        </w:rPr>
      </w:pPr>
      <w:r>
        <w:rPr>
          <w:rFonts w:hint="eastAsia" w:hAnsi="宋体"/>
          <w:color w:val="auto"/>
        </w:rPr>
        <w:t>有效期超过磋商有效期30天。</w:t>
      </w:r>
    </w:p>
    <w:p>
      <w:pPr>
        <w:tabs>
          <w:tab w:val="left" w:pos="851"/>
        </w:tabs>
        <w:snapToGrid w:val="0"/>
        <w:spacing w:line="360" w:lineRule="auto"/>
        <w:rPr>
          <w:rFonts w:ascii="宋体" w:hAnsi="宋体"/>
          <w:color w:val="auto"/>
        </w:rPr>
      </w:pPr>
      <w:r>
        <w:rPr>
          <w:rFonts w:hint="eastAsia" w:ascii="宋体" w:hAnsi="宋体"/>
          <w:color w:val="auto"/>
        </w:rPr>
        <w:t>24.5.3以</w:t>
      </w:r>
      <w:r>
        <w:rPr>
          <w:rFonts w:hint="eastAsia" w:hAnsi="宋体"/>
          <w:color w:val="auto"/>
        </w:rPr>
        <w:t>银行保函</w:t>
      </w:r>
      <w:r>
        <w:rPr>
          <w:rFonts w:hAnsi="宋体"/>
          <w:color w:val="auto"/>
        </w:rPr>
        <w:t>（或《政府采购磋商担保函》</w:t>
      </w:r>
      <w:r>
        <w:rPr>
          <w:rFonts w:hint="eastAsia" w:hAnsi="宋体"/>
          <w:color w:val="auto"/>
        </w:rPr>
        <w:t>）</w:t>
      </w:r>
      <w:r>
        <w:rPr>
          <w:rFonts w:hint="eastAsia" w:ascii="宋体" w:hAnsi="宋体"/>
          <w:color w:val="auto"/>
        </w:rPr>
        <w:t>形式交纳保证金的，</w:t>
      </w:r>
      <w:r>
        <w:rPr>
          <w:rFonts w:hint="eastAsia" w:hAnsi="宋体"/>
          <w:color w:val="auto"/>
        </w:rPr>
        <w:t>银行保函</w:t>
      </w:r>
      <w:r>
        <w:rPr>
          <w:rFonts w:hAnsi="宋体"/>
          <w:color w:val="auto"/>
        </w:rPr>
        <w:t>（或《政府采购磋商担保函》</w:t>
      </w:r>
      <w:r>
        <w:rPr>
          <w:rFonts w:hint="eastAsia" w:hAnsi="宋体"/>
          <w:color w:val="auto"/>
        </w:rPr>
        <w:t>）</w:t>
      </w:r>
      <w:r>
        <w:rPr>
          <w:rFonts w:hint="eastAsia" w:ascii="宋体" w:hAnsi="宋体"/>
          <w:color w:val="auto"/>
        </w:rPr>
        <w:t>复印件</w:t>
      </w:r>
      <w:r>
        <w:rPr>
          <w:rFonts w:hint="eastAsia" w:ascii="宋体" w:hAnsi="宋体"/>
          <w:color w:val="auto"/>
          <w:szCs w:val="21"/>
        </w:rPr>
        <w:t>（</w:t>
      </w:r>
      <w:r>
        <w:rPr>
          <w:rFonts w:hint="eastAsia" w:ascii="宋体" w:hAnsi="宋体"/>
          <w:color w:val="auto"/>
        </w:rPr>
        <w:t>加盖公章</w:t>
      </w:r>
      <w:r>
        <w:rPr>
          <w:rFonts w:hint="eastAsia" w:ascii="宋体" w:hAnsi="宋体"/>
          <w:color w:val="auto"/>
          <w:szCs w:val="21"/>
        </w:rPr>
        <w:t>）放入</w:t>
      </w:r>
      <w:r>
        <w:rPr>
          <w:rFonts w:hint="eastAsia" w:ascii="宋体" w:hAnsi="宋体"/>
          <w:color w:val="auto"/>
        </w:rPr>
        <w:t>响应文件</w:t>
      </w:r>
      <w:r>
        <w:rPr>
          <w:rFonts w:hint="eastAsia" w:ascii="宋体" w:hAnsi="宋体"/>
          <w:color w:val="auto"/>
          <w:szCs w:val="21"/>
        </w:rPr>
        <w:t>的</w:t>
      </w:r>
      <w:r>
        <w:rPr>
          <w:rFonts w:hint="eastAsia" w:ascii="宋体" w:hAnsi="宋体"/>
          <w:color w:val="auto"/>
        </w:rPr>
        <w:t>商务部</w:t>
      </w:r>
      <w:r>
        <w:rPr>
          <w:rFonts w:hint="eastAsia" w:ascii="宋体" w:hAnsi="宋体"/>
          <w:color w:val="auto"/>
          <w:szCs w:val="21"/>
        </w:rPr>
        <w:t>分中，原件放入“保证金”信封中</w:t>
      </w:r>
      <w:r>
        <w:rPr>
          <w:rFonts w:hint="eastAsia" w:ascii="宋体" w:hAnsi="宋体"/>
          <w:color w:val="auto"/>
        </w:rPr>
        <w:t>。</w:t>
      </w:r>
    </w:p>
    <w:p>
      <w:pPr>
        <w:snapToGrid w:val="0"/>
        <w:spacing w:line="360" w:lineRule="auto"/>
        <w:rPr>
          <w:color w:val="auto"/>
        </w:rPr>
      </w:pP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未按规定提交保证金或《政府采购磋商担保函》的响应文件，将被视为无效文件。</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未成交的供应商的保证金，在该采购项目的结果通知书发出后按《保证金退还说明》的要求在五个工作日内无息全额退回。</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成交供应商的保证金，在成交供应商与采购人签订采购合同并将合同原件交采购代理机构备案后按《</w:t>
      </w:r>
      <w:r>
        <w:rPr>
          <w:rFonts w:ascii="宋体" w:hAnsi="宋体"/>
          <w:color w:val="auto"/>
          <w:szCs w:val="21"/>
        </w:rPr>
        <w:t>保证金退还说明</w:t>
      </w:r>
      <w:r>
        <w:rPr>
          <w:rFonts w:hint="eastAsia" w:ascii="宋体" w:hAnsi="宋体"/>
          <w:color w:val="auto"/>
          <w:szCs w:val="21"/>
        </w:rPr>
        <w:t>》的要求在五个工作日内无息全额退回</w:t>
      </w:r>
      <w:r>
        <w:rPr>
          <w:rFonts w:ascii="宋体" w:hAnsi="宋体"/>
          <w:color w:val="auto"/>
          <w:szCs w:val="21"/>
        </w:rPr>
        <w:t>。</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在下列情况下保证金将不予退还：</w:t>
      </w:r>
    </w:p>
    <w:p>
      <w:pPr>
        <w:numPr>
          <w:ilvl w:val="0"/>
          <w:numId w:val="12"/>
        </w:numPr>
        <w:tabs>
          <w:tab w:val="left" w:pos="993"/>
          <w:tab w:val="left" w:pos="1353"/>
        </w:tabs>
        <w:spacing w:line="360" w:lineRule="auto"/>
        <w:ind w:left="993" w:hanging="426"/>
        <w:rPr>
          <w:rFonts w:hAnsi="宋体"/>
          <w:color w:val="auto"/>
        </w:rPr>
      </w:pPr>
      <w:r>
        <w:rPr>
          <w:rFonts w:hint="eastAsia" w:hAnsi="宋体"/>
          <w:color w:val="auto"/>
        </w:rPr>
        <w:t>供应商在提交响应文件截止时间后撤回响应文件的；</w:t>
      </w:r>
    </w:p>
    <w:p>
      <w:pPr>
        <w:numPr>
          <w:ilvl w:val="0"/>
          <w:numId w:val="12"/>
        </w:numPr>
        <w:tabs>
          <w:tab w:val="left" w:pos="993"/>
          <w:tab w:val="left" w:pos="1353"/>
        </w:tabs>
        <w:spacing w:line="360" w:lineRule="auto"/>
        <w:ind w:left="993" w:hanging="426"/>
        <w:rPr>
          <w:rFonts w:hAnsi="宋体"/>
          <w:color w:val="auto"/>
        </w:rPr>
      </w:pPr>
      <w:r>
        <w:rPr>
          <w:rFonts w:hint="eastAsia" w:hAnsi="宋体"/>
          <w:color w:val="auto"/>
        </w:rPr>
        <w:t>供应商在响应文件中提供虚假材料的；</w:t>
      </w:r>
    </w:p>
    <w:p>
      <w:pPr>
        <w:numPr>
          <w:ilvl w:val="0"/>
          <w:numId w:val="12"/>
        </w:numPr>
        <w:tabs>
          <w:tab w:val="left" w:pos="993"/>
          <w:tab w:val="left" w:pos="1353"/>
        </w:tabs>
        <w:spacing w:line="360" w:lineRule="auto"/>
        <w:ind w:left="993" w:hanging="426"/>
        <w:rPr>
          <w:rFonts w:hAnsi="宋体"/>
          <w:color w:val="auto"/>
        </w:rPr>
      </w:pPr>
      <w:r>
        <w:rPr>
          <w:rFonts w:hint="eastAsia" w:hAnsi="宋体"/>
          <w:color w:val="auto"/>
        </w:rPr>
        <w:t>除因不可抗力或磋商文件认可的情形以外，成交供应商不与采购人签订合同的；</w:t>
      </w:r>
    </w:p>
    <w:p>
      <w:pPr>
        <w:numPr>
          <w:ilvl w:val="0"/>
          <w:numId w:val="12"/>
        </w:numPr>
        <w:tabs>
          <w:tab w:val="left" w:pos="993"/>
          <w:tab w:val="left" w:pos="1353"/>
        </w:tabs>
        <w:spacing w:line="360" w:lineRule="auto"/>
        <w:ind w:left="993" w:hanging="426"/>
        <w:rPr>
          <w:rFonts w:hAnsi="宋体"/>
          <w:color w:val="auto"/>
        </w:rPr>
      </w:pPr>
      <w:r>
        <w:rPr>
          <w:rFonts w:hint="eastAsia" w:hAnsi="宋体"/>
          <w:color w:val="auto"/>
        </w:rPr>
        <w:t>供应商与采购人、其他供应商或者采购代理机构恶意串通的；</w:t>
      </w:r>
    </w:p>
    <w:p>
      <w:pPr>
        <w:numPr>
          <w:ilvl w:val="0"/>
          <w:numId w:val="12"/>
        </w:numPr>
        <w:tabs>
          <w:tab w:val="left" w:pos="993"/>
          <w:tab w:val="left" w:pos="1353"/>
        </w:tabs>
        <w:spacing w:line="360" w:lineRule="auto"/>
        <w:ind w:left="993" w:hanging="426"/>
        <w:rPr>
          <w:rFonts w:hAnsi="宋体"/>
          <w:color w:val="auto"/>
        </w:rPr>
      </w:pPr>
      <w:r>
        <w:rPr>
          <w:rFonts w:hint="eastAsia" w:hAnsi="宋体"/>
          <w:color w:val="auto"/>
        </w:rPr>
        <w:t>法律法规规定的其他情形。</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磋商有效期</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响应文件在磋商须知前附表第4项规定的磋商有效期内有效。磋商有效期比规定期限短的将被视为无效响应文件。</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特殊情况下，在原磋商有效期截止之前，采购代理机构可要求供应商延长磋商有效期。这种要求与答复均应以书面形式提交。供应商可拒绝政府采购代理机构的这种要求，其磋商保证金将被无息退还，但其磋商在原磋商有效期期满后将不再有效。同意延长磋商有效期的供应商将不会被要求和允许修正其磋商，而只会被要求相应地延长其磋商保证金的有效期。在这种情况下，本须知有关磋商保证金的退还和没收的规定将在延长了的有效期内继续有效。</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响应文件的式样和签署</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 xml:space="preserve">供应商应按磋商须知前附表第6项准备响应文件正本、副本和电子文档标书（刻录光盘），电子标书的文件格式要求用MS WORD/EXCEL简体中文版，电子标书封面注明公司名称和项目编号，每份响应文件须清楚地标明“正本”或“副本”。一旦正本和副本不符，以正本为准。 </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供应商应将按照响应文件格式的目录要求顺序装订成册。响应文件应</w:t>
      </w:r>
      <w:r>
        <w:rPr>
          <w:rFonts w:ascii="宋体" w:hAnsi="宋体"/>
          <w:color w:val="auto"/>
          <w:szCs w:val="21"/>
        </w:rPr>
        <w:t>装订</w:t>
      </w:r>
      <w:r>
        <w:rPr>
          <w:rFonts w:hint="eastAsia" w:ascii="宋体" w:hAnsi="宋体"/>
          <w:color w:val="auto"/>
          <w:szCs w:val="21"/>
        </w:rPr>
        <w:t>牢固不可拆卸（如：</w:t>
      </w:r>
      <w:r>
        <w:rPr>
          <w:rFonts w:ascii="宋体" w:hAnsi="宋体"/>
          <w:color w:val="auto"/>
          <w:szCs w:val="21"/>
        </w:rPr>
        <w:t>胶订</w:t>
      </w:r>
      <w:r>
        <w:rPr>
          <w:rFonts w:hint="eastAsia" w:ascii="宋体" w:hAnsi="宋体"/>
          <w:color w:val="auto"/>
          <w:szCs w:val="21"/>
        </w:rPr>
        <w:t>），如因装订不牢固导致的任何损失由供应商承担</w:t>
      </w:r>
      <w:r>
        <w:rPr>
          <w:rFonts w:ascii="宋体" w:hAnsi="宋体"/>
          <w:color w:val="auto"/>
          <w:szCs w:val="21"/>
        </w:rPr>
        <w:t>。</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响应文件除签字外必须是印刷形式，一般不许有加行、涂抹或改写；如有加行、涂抹或改写，必须由供应商法定代表人或其授权代表在修改处签名或加盖供应商公章。</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响应文件正本须打印并由供应商的法定代表人或其委托代理人（具有法定代表人签署的授权书）在响应文件上要求的地方签字，副本可通过正本复印。</w:t>
      </w:r>
    </w:p>
    <w:p>
      <w:pPr>
        <w:pStyle w:val="4"/>
        <w:jc w:val="center"/>
        <w:rPr>
          <w:color w:val="auto"/>
          <w:sz w:val="24"/>
          <w:szCs w:val="24"/>
        </w:rPr>
      </w:pPr>
      <w:bookmarkStart w:id="75" w:name="_Toc18934974"/>
      <w:bookmarkStart w:id="76" w:name="_Toc469663674"/>
      <w:bookmarkStart w:id="77" w:name="_Toc337541098"/>
      <w:bookmarkStart w:id="78" w:name="_Toc111890782"/>
      <w:bookmarkStart w:id="79" w:name="_Toc14815"/>
      <w:bookmarkStart w:id="80" w:name="_Toc2205"/>
      <w:bookmarkStart w:id="81" w:name="_Toc18935116"/>
      <w:bookmarkStart w:id="82" w:name="_Toc7399"/>
      <w:bookmarkStart w:id="83" w:name="_Toc31033"/>
      <w:bookmarkStart w:id="84" w:name="_Toc6883"/>
      <w:r>
        <w:rPr>
          <w:rFonts w:hint="eastAsia"/>
          <w:color w:val="auto"/>
          <w:sz w:val="24"/>
          <w:szCs w:val="24"/>
        </w:rPr>
        <w:t>（四）响应文件的提交</w:t>
      </w:r>
      <w:bookmarkEnd w:id="75"/>
      <w:bookmarkEnd w:id="76"/>
      <w:bookmarkEnd w:id="77"/>
      <w:bookmarkEnd w:id="78"/>
      <w:bookmarkEnd w:id="79"/>
      <w:bookmarkEnd w:id="80"/>
      <w:bookmarkEnd w:id="81"/>
      <w:bookmarkEnd w:id="82"/>
      <w:bookmarkEnd w:id="83"/>
      <w:bookmarkEnd w:id="84"/>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响应文件的密封和标记</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正本和电子标书一起封装，副本一起封装，在每一封口处加盖公章，并在封套上标明项目名称、项目编号、供应商名称及“正本/副本”等字样。</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保证金退还说明（原件）、保证金银行划款单（复印件）/保证金担保函原件一起封装，封套标明项目编号、供应商名称及“磋商保证金”等字样；磋商保证金银行划款单（原件）不用封装，当场审核后退还。</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封套上应注明：</w:t>
      </w:r>
    </w:p>
    <w:p>
      <w:pPr>
        <w:snapToGrid w:val="0"/>
        <w:spacing w:line="360" w:lineRule="auto"/>
        <w:ind w:left="850" w:leftChars="405"/>
        <w:rPr>
          <w:rFonts w:ascii="宋体"/>
          <w:b/>
          <w:color w:val="auto"/>
        </w:rPr>
      </w:pPr>
      <w:r>
        <w:rPr>
          <w:rFonts w:hint="eastAsia" w:ascii="宋体"/>
          <w:b/>
          <w:color w:val="auto"/>
        </w:rPr>
        <w:t>收件人：广东熙泽企业管理有限公司</w:t>
      </w:r>
    </w:p>
    <w:p>
      <w:pPr>
        <w:snapToGrid w:val="0"/>
        <w:spacing w:line="360" w:lineRule="auto"/>
        <w:ind w:left="850" w:leftChars="405"/>
        <w:rPr>
          <w:rFonts w:ascii="宋体"/>
          <w:b/>
          <w:color w:val="auto"/>
        </w:rPr>
      </w:pPr>
      <w:r>
        <w:rPr>
          <w:rFonts w:hint="eastAsia" w:ascii="宋体"/>
          <w:b/>
          <w:color w:val="auto"/>
        </w:rPr>
        <w:t>项目名称：高明区人民医院被服洗涤服务项目</w:t>
      </w:r>
    </w:p>
    <w:p>
      <w:pPr>
        <w:snapToGrid w:val="0"/>
        <w:spacing w:line="360" w:lineRule="auto"/>
        <w:ind w:left="850" w:leftChars="405"/>
        <w:rPr>
          <w:rFonts w:ascii="宋体"/>
          <w:b/>
          <w:color w:val="auto"/>
        </w:rPr>
      </w:pPr>
      <w:r>
        <w:rPr>
          <w:rFonts w:hint="eastAsia" w:ascii="宋体"/>
          <w:b/>
          <w:color w:val="auto"/>
        </w:rPr>
        <w:t>编号:XZ20200401</w:t>
      </w:r>
    </w:p>
    <w:p>
      <w:pPr>
        <w:snapToGrid w:val="0"/>
        <w:spacing w:line="360" w:lineRule="auto"/>
        <w:ind w:left="850" w:leftChars="405"/>
        <w:rPr>
          <w:rFonts w:ascii="宋体"/>
          <w:b/>
          <w:color w:val="auto"/>
        </w:rPr>
      </w:pPr>
      <w:r>
        <w:rPr>
          <w:rFonts w:hint="eastAsia" w:ascii="宋体"/>
          <w:b/>
          <w:color w:val="auto"/>
        </w:rPr>
        <w:t>供应商名称：</w:t>
      </w:r>
    </w:p>
    <w:p>
      <w:pPr>
        <w:snapToGrid w:val="0"/>
        <w:spacing w:line="360" w:lineRule="auto"/>
        <w:ind w:left="850" w:leftChars="405"/>
        <w:rPr>
          <w:rFonts w:ascii="宋体"/>
          <w:b/>
          <w:color w:val="auto"/>
        </w:rPr>
      </w:pPr>
      <w:r>
        <w:rPr>
          <w:rFonts w:hint="eastAsia" w:ascii="宋体"/>
          <w:b/>
          <w:color w:val="auto"/>
        </w:rPr>
        <w:t>供应商地址：</w:t>
      </w:r>
    </w:p>
    <w:p>
      <w:pPr>
        <w:snapToGrid w:val="0"/>
        <w:spacing w:line="360" w:lineRule="auto"/>
        <w:ind w:left="850" w:leftChars="405"/>
        <w:rPr>
          <w:rFonts w:ascii="宋体"/>
          <w:b/>
          <w:color w:val="auto"/>
          <w:sz w:val="24"/>
        </w:rPr>
      </w:pPr>
      <w:r>
        <w:rPr>
          <w:rFonts w:hint="eastAsia" w:ascii="宋体"/>
          <w:b/>
          <w:color w:val="auto"/>
        </w:rPr>
        <w:t>在规定</w:t>
      </w:r>
      <w:r>
        <w:rPr>
          <w:rFonts w:hint="eastAsia" w:ascii="宋体"/>
          <w:b/>
          <w:color w:val="auto"/>
          <w:u w:val="single"/>
        </w:rPr>
        <w:t xml:space="preserve">  响应文件提交截止时间   </w:t>
      </w:r>
      <w:r>
        <w:rPr>
          <w:rFonts w:hint="eastAsia" w:ascii="宋体"/>
          <w:b/>
          <w:color w:val="auto"/>
        </w:rPr>
        <w:t>之前不得启封</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迟交的响应文件</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采购代理机构将拒绝并原封退回在其规定的响应文件提交截止时间后收到的任何响应文件。</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如果推迟响应文件提交截止时间，采购代理机构、采购人和供应商受响应文件提交截止时间制约的所有权利和义务均应相应延长至新的截止时间。</w:t>
      </w:r>
    </w:p>
    <w:p>
      <w:pPr>
        <w:numPr>
          <w:ilvl w:val="0"/>
          <w:numId w:val="7"/>
        </w:numPr>
        <w:tabs>
          <w:tab w:val="left" w:pos="567"/>
          <w:tab w:val="left" w:pos="851"/>
        </w:tabs>
        <w:snapToGrid w:val="0"/>
        <w:spacing w:line="360" w:lineRule="auto"/>
        <w:rPr>
          <w:rFonts w:ascii="宋体" w:hAnsi="宋体" w:cs="黑体"/>
          <w:b/>
          <w:bCs/>
          <w:color w:val="auto"/>
          <w:sz w:val="24"/>
        </w:rPr>
      </w:pPr>
      <w:bookmarkStart w:id="85" w:name="_Toc322606730"/>
      <w:r>
        <w:rPr>
          <w:rFonts w:hint="eastAsia" w:ascii="宋体" w:hAnsi="宋体" w:cs="黑体"/>
          <w:b/>
          <w:bCs/>
          <w:color w:val="auto"/>
          <w:sz w:val="24"/>
        </w:rPr>
        <w:t>响应文件的修改和撤回</w:t>
      </w:r>
      <w:bookmarkEnd w:id="85"/>
    </w:p>
    <w:p>
      <w:pPr>
        <w:autoSpaceDE w:val="0"/>
        <w:autoSpaceDN w:val="0"/>
        <w:adjustRightInd w:val="0"/>
        <w:snapToGrid w:val="0"/>
        <w:spacing w:line="360" w:lineRule="auto"/>
        <w:ind w:left="567" w:leftChars="270"/>
        <w:jc w:val="left"/>
        <w:rPr>
          <w:rFonts w:ascii="宋体" w:hAnsi="宋体" w:cs="宋体"/>
          <w:color w:val="auto"/>
          <w:szCs w:val="21"/>
        </w:rPr>
      </w:pPr>
      <w:r>
        <w:rPr>
          <w:rFonts w:hint="eastAsia" w:ascii="宋体" w:hAnsi="宋体" w:cs="宋体"/>
          <w:color w:val="auto"/>
          <w:szCs w:val="21"/>
          <w:lang w:eastAsia="zh-TW"/>
        </w:rPr>
        <w:t>供应商在响应文件提交截止期前，可以对所提交的响应文件进行补充、修改或者撤回，并书面通知招标采购单位。补充、修改的内容应当按磋商文件要求签署、盖章，并作为响应文件的组成部分。</w:t>
      </w:r>
      <w:bookmarkStart w:id="86" w:name="_Toc337541099"/>
      <w:bookmarkStart w:id="87" w:name="_Toc111890783"/>
    </w:p>
    <w:p>
      <w:pPr>
        <w:numPr>
          <w:ilvl w:val="0"/>
          <w:numId w:val="7"/>
        </w:numPr>
        <w:tabs>
          <w:tab w:val="left" w:pos="567"/>
          <w:tab w:val="left" w:pos="851"/>
        </w:tabs>
        <w:snapToGrid w:val="0"/>
        <w:spacing w:line="360" w:lineRule="auto"/>
        <w:rPr>
          <w:rFonts w:ascii="宋体" w:hAnsi="宋体" w:cs="黑体"/>
          <w:b/>
          <w:bCs/>
          <w:color w:val="auto"/>
          <w:sz w:val="24"/>
        </w:rPr>
      </w:pPr>
      <w:r>
        <w:rPr>
          <w:rFonts w:hint="eastAsia" w:ascii="宋体" w:hAnsi="宋体" w:cs="黑体"/>
          <w:b/>
          <w:bCs/>
          <w:color w:val="auto"/>
          <w:sz w:val="24"/>
        </w:rPr>
        <w:t>首次报价</w:t>
      </w:r>
    </w:p>
    <w:p>
      <w:pPr>
        <w:pStyle w:val="90"/>
        <w:numPr>
          <w:ilvl w:val="0"/>
          <w:numId w:val="13"/>
        </w:numPr>
        <w:tabs>
          <w:tab w:val="left" w:pos="425"/>
          <w:tab w:val="left" w:pos="720"/>
        </w:tabs>
        <w:snapToGrid w:val="0"/>
        <w:spacing w:line="360" w:lineRule="auto"/>
        <w:ind w:firstLineChars="0"/>
        <w:rPr>
          <w:rFonts w:ascii="宋体" w:hAnsi="宋体"/>
          <w:vanish/>
          <w:color w:val="auto"/>
          <w:szCs w:val="21"/>
        </w:rPr>
      </w:pPr>
    </w:p>
    <w:p>
      <w:pPr>
        <w:pStyle w:val="90"/>
        <w:numPr>
          <w:ilvl w:val="0"/>
          <w:numId w:val="13"/>
        </w:numPr>
        <w:tabs>
          <w:tab w:val="left" w:pos="425"/>
          <w:tab w:val="left" w:pos="720"/>
        </w:tabs>
        <w:snapToGrid w:val="0"/>
        <w:spacing w:line="360" w:lineRule="auto"/>
        <w:ind w:firstLineChars="0"/>
        <w:rPr>
          <w:rFonts w:ascii="宋体" w:hAnsi="宋体"/>
          <w:vanish/>
          <w:color w:val="auto"/>
          <w:szCs w:val="21"/>
        </w:rPr>
      </w:pP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供应商的首次报价于提交首次响应文件截止时间公开开启，本环节由采购代理机构主持，采购人、供应商和有关方面代表参加。唱价过程由采购代理机构指定专人负责记录，并存档。</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供应商需由法定代表人或其授权代表（具有法定代表人签署的授权书）携带身份证明原件参加，签到证明其出席本次会议。若法定代表人或其授权代表未出席开标会，视为认可首次唱价结果。</w:t>
      </w:r>
    </w:p>
    <w:p>
      <w:pPr>
        <w:pStyle w:val="4"/>
        <w:jc w:val="center"/>
        <w:rPr>
          <w:color w:val="auto"/>
        </w:rPr>
      </w:pPr>
      <w:bookmarkStart w:id="88" w:name="_Toc29387"/>
      <w:bookmarkStart w:id="89" w:name="_Toc26469"/>
      <w:bookmarkStart w:id="90" w:name="_Toc18935117"/>
      <w:bookmarkStart w:id="91" w:name="_Toc18934975"/>
      <w:bookmarkStart w:id="92" w:name="_Toc28450"/>
      <w:bookmarkStart w:id="93" w:name="_Toc21539"/>
      <w:bookmarkStart w:id="94" w:name="_Toc469663675"/>
      <w:bookmarkStart w:id="95" w:name="_Toc30611"/>
      <w:r>
        <w:rPr>
          <w:rFonts w:hint="eastAsia"/>
          <w:color w:val="auto"/>
        </w:rPr>
        <w:t>（五）</w:t>
      </w:r>
      <w:bookmarkEnd w:id="86"/>
      <w:bookmarkEnd w:id="87"/>
      <w:r>
        <w:rPr>
          <w:rFonts w:hint="eastAsia"/>
          <w:color w:val="auto"/>
        </w:rPr>
        <w:t>关于评审</w:t>
      </w:r>
      <w:bookmarkEnd w:id="88"/>
      <w:bookmarkEnd w:id="89"/>
      <w:bookmarkEnd w:id="90"/>
      <w:bookmarkEnd w:id="91"/>
      <w:bookmarkEnd w:id="92"/>
      <w:bookmarkEnd w:id="93"/>
      <w:bookmarkEnd w:id="94"/>
      <w:bookmarkEnd w:id="95"/>
    </w:p>
    <w:p>
      <w:pPr>
        <w:numPr>
          <w:ilvl w:val="0"/>
          <w:numId w:val="7"/>
        </w:numPr>
        <w:tabs>
          <w:tab w:val="left" w:pos="567"/>
          <w:tab w:val="left" w:pos="851"/>
        </w:tabs>
        <w:snapToGrid w:val="0"/>
        <w:spacing w:line="360" w:lineRule="auto"/>
        <w:rPr>
          <w:rFonts w:ascii="宋体" w:hAnsi="宋体" w:cs="宋体"/>
          <w:b/>
          <w:color w:val="auto"/>
          <w:sz w:val="24"/>
          <w:szCs w:val="21"/>
          <w:lang w:eastAsia="zh-TW"/>
        </w:rPr>
      </w:pPr>
      <w:r>
        <w:rPr>
          <w:rFonts w:hint="eastAsia" w:ascii="宋体" w:hAnsi="宋体" w:cs="宋体"/>
          <w:b/>
          <w:color w:val="auto"/>
          <w:sz w:val="24"/>
          <w:szCs w:val="21"/>
          <w:lang w:eastAsia="zh-TW"/>
        </w:rPr>
        <w:t>磋商小组</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本次磋商按照磋商须知前附表第9项规定依法组建磋商小组，（达到竞争性磋商数额的项目磋商小组成员为三人以上单数）。</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磋商小组所有成员集中对响应文件进行审查，与每个供应商分别进行先商务技术条件后价格的磋商，本次磋商采用一轮磋商，两次报价形式进行。磋商小组也可视实际情况确定磋商轮次</w:t>
      </w:r>
      <w:r>
        <w:rPr>
          <w:rFonts w:hint="eastAsia" w:ascii="宋体"/>
          <w:color w:val="auto"/>
        </w:rPr>
        <w:t>，</w:t>
      </w:r>
      <w:r>
        <w:rPr>
          <w:rFonts w:hint="eastAsia" w:ascii="宋体" w:hAnsi="宋体"/>
          <w:color w:val="auto"/>
          <w:szCs w:val="21"/>
        </w:rPr>
        <w:t>并提交评审报告及推荐成交供应商。</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磋商小组名单在磋商结果确定前严格保密。磋商专家（不含采购人代表）有下列情形之一的，受到邀请应主动提出回避，采购当事人也可以要求该磋商专家回避：</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本人、配偶或直系亲属</w:t>
      </w:r>
      <w:r>
        <w:rPr>
          <w:rFonts w:ascii="宋体" w:hAnsi="宋体"/>
          <w:color w:val="auto"/>
          <w:szCs w:val="21"/>
        </w:rPr>
        <w:t xml:space="preserve">3 </w:t>
      </w:r>
      <w:r>
        <w:rPr>
          <w:rFonts w:hint="eastAsia" w:ascii="宋体" w:hAnsi="宋体"/>
          <w:color w:val="auto"/>
          <w:szCs w:val="21"/>
        </w:rPr>
        <w:t>年内曾在参加该采购项目的供应商中任职（包括一般工作）或担任顾问、董事、监事或与参加该采购项目的供应商发生过法律纠纷；</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参加采购活动前3年内是供应商的控股股东或者实际控制人；</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与供应商的法定代表人或者负责人有夫妻、直系血亲、三代以内旁系血亲或者近姻亲关系；</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任职单位与采购人或参加该采购项目供应商存在行政隶属关系；</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曾经参加过该采购项目的进口产品或磋商文件、采购需求、采购方式的论证和咨询服务工作；</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为参加该采购项目供应商的上级主管部门、控股或参股单位的工作人员，或与该供应商存在其他经济利益关系；</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磋商小组成员之间具有配偶、近亲属关系；</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同一单位的评审专家在同一项目磋商小组成员中超过两名；</w:t>
      </w:r>
    </w:p>
    <w:p>
      <w:pPr>
        <w:numPr>
          <w:ilvl w:val="0"/>
          <w:numId w:val="14"/>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法律、法规、规章规定应当回避以及其他可能影响公正评审的。</w:t>
      </w:r>
    </w:p>
    <w:p>
      <w:pPr>
        <w:numPr>
          <w:ilvl w:val="0"/>
          <w:numId w:val="7"/>
        </w:numPr>
        <w:tabs>
          <w:tab w:val="left" w:pos="567"/>
          <w:tab w:val="left" w:pos="851"/>
          <w:tab w:val="left" w:pos="993"/>
        </w:tabs>
        <w:snapToGrid w:val="0"/>
        <w:spacing w:line="360" w:lineRule="auto"/>
        <w:rPr>
          <w:rFonts w:ascii="宋体"/>
          <w:b/>
          <w:color w:val="auto"/>
          <w:sz w:val="24"/>
        </w:rPr>
      </w:pPr>
      <w:r>
        <w:rPr>
          <w:rFonts w:hint="eastAsia" w:ascii="宋体"/>
          <w:b/>
          <w:color w:val="auto"/>
          <w:sz w:val="24"/>
        </w:rPr>
        <w:t>磋商的原则</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小组将依据采购的有关规定，遵循“公开、公平、公正、科学、择优”的原则进行磋商和评审工作。磋商小组将按照规定只对通过初步评审的响应文件进行最终评审和比较。如各评委结论不一致时，磋商小组的结论以少数服从多数原则确定。</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在磋商中，磋商的任何一方不得透露与磋商有关的其他供应商的技术资料、价格和其他信息。磋商小组和参与磋商的有关工作人员不得透露对响应文件的评审和比较以及与磋商有关的其他情况。</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对磋商文件中描述有歧义或前后不一致的地方，磋商小组有权进行评判，但对同一条款的评判应适用于每个供应商。</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响应文件差异修正准则</w:t>
      </w:r>
    </w:p>
    <w:p>
      <w:pPr>
        <w:snapToGrid w:val="0"/>
        <w:spacing w:line="360" w:lineRule="auto"/>
        <w:ind w:firstLine="525" w:firstLineChars="250"/>
        <w:rPr>
          <w:rFonts w:ascii="宋体" w:hAnsi="宋体"/>
          <w:color w:val="auto"/>
          <w:szCs w:val="21"/>
        </w:rPr>
      </w:pPr>
      <w:r>
        <w:rPr>
          <w:rFonts w:hint="eastAsia" w:ascii="宋体" w:hAnsi="宋体"/>
          <w:color w:val="auto"/>
          <w:szCs w:val="21"/>
        </w:rPr>
        <w:t>响应文件出现差异时，磋商小组按以下修正原则及顺序对响应文件的差异进行修正：</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首次报价唱读阶段，首次报价一览表与分项明细表或其它相关报价表报价不一致的，均以首次报价一览表为准；</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大写金额和小写金额不一致的，以大写金额为准；</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分项报价表中的单价与对应的合计价不相符的，以单价为准，修正对应的该项合计价；</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单价金额小数点有明显错位的，应以总价为准，并修改单价；</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响应文件描述内容与原始材料引述内容不一致的，以原始材料内容为准；</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对不同文字文本响应文件的解释发生异议的，以中文文本为准；</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对出现以上情况或因明显笔误而需修正任何内容时，均以磋商小组审定通过方为有效；</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对采购项目的关键、主要内容，报价供应商报价漏项的，作非实质性响应处理；</w:t>
      </w:r>
    </w:p>
    <w:p>
      <w:pPr>
        <w:numPr>
          <w:ilvl w:val="0"/>
          <w:numId w:val="15"/>
        </w:numPr>
        <w:tabs>
          <w:tab w:val="left" w:pos="993"/>
          <w:tab w:val="left" w:pos="1353"/>
        </w:tabs>
        <w:snapToGrid w:val="0"/>
        <w:spacing w:line="360" w:lineRule="auto"/>
        <w:ind w:left="993" w:hanging="426"/>
        <w:rPr>
          <w:rFonts w:ascii="宋体" w:hAnsi="宋体"/>
          <w:color w:val="auto"/>
          <w:szCs w:val="21"/>
        </w:rPr>
      </w:pPr>
      <w:r>
        <w:rPr>
          <w:rFonts w:hint="eastAsia" w:ascii="宋体" w:hAnsi="宋体"/>
          <w:color w:val="auto"/>
          <w:szCs w:val="21"/>
        </w:rPr>
        <w:t>磋商小组认定为表述不清晰或无法确定的报价均不予修正。</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响应文件的澄清</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对响应文件中含义不明确、同类问题表述不一致或者有明显文字和计算错误的内容，磋商小组可以书面形式要求供应商作出必要的澄清、说明或者纠正。</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供应商的澄清、说明或者补正应当采用书面形式，并不得超出响应文件的范围或者改变响应文件的实质性内容。</w:t>
      </w:r>
      <w:r>
        <w:rPr>
          <w:rFonts w:hint="eastAsia" w:ascii="宋体" w:hAnsi="宋体" w:cs="宋体"/>
          <w:color w:val="auto"/>
          <w:shd w:val="clear" w:color="auto" w:fill="FFFFFF"/>
        </w:rPr>
        <w:t>供应商的澄清、说明或者更正应当由法定代表人或其授权代表签字或者加盖公章。由授权代表签字的，应当附法定代表人授权书。供应商为自然人的，应当由本人签字并附身份证明。</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磋商小组均应当阅读供应商的澄清，但应独立参考澄清对响应文件进行评审，整个澄清的过程不得存在排斥供应商的现象。</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除上述规定的情形之外，磋商小组在评审过程中，不得接收来自评审现场以外的任何形式的文件资料。</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参与磋商的供应商数量要求</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文件能够详细列明采购标的的技术、服务要求的，磋商结束后，磋商小组应当要求所有通过了初步评审，继续参加磋商的供应商在规定时间内提交最后报价及有关承诺，提交最后报价的供应商不得少于3家，采用竞争性磋商采购方式采购的政府购买服务项目（含政府和社会资本合作项目）除外。</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采用竞争性磋商采购方式采购的政府购买服务项目（含政府和社会资本合作项目）除外。</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供应商在提交最后报价之前可以根据磋商情况退出磋商（不影响保证金退还），提交最后报价的供应商不得少于 3 家，采用竞争性磋商采购方式采购的政府购买服务项目（含政府和社会资本合作项目）除外。</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市场竞争不充分的科研项目，以及需要扶持的科技成果转化项目，当提交最后报价的供应商为2 家时，磋商小组可以继续进行评审活动或宣布项目采购失败。</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采用竞争性磋商采购方式采购的政府购买服务项目（含政府和社会资本合作项目），</w:t>
      </w:r>
      <w:r>
        <w:rPr>
          <w:rFonts w:hint="eastAsia" w:ascii="宋体" w:hAnsi="宋体"/>
          <w:color w:val="auto"/>
          <w:szCs w:val="21"/>
          <w:u w:val="single"/>
        </w:rPr>
        <w:t>在采购过程中符合要求的供应商（社会资本）只有2家的，竞争性磋商采购活动可以继续进行。</w:t>
      </w:r>
      <w:r>
        <w:rPr>
          <w:rFonts w:hint="eastAsia" w:ascii="宋体" w:hAnsi="宋体"/>
          <w:color w:val="auto"/>
          <w:szCs w:val="21"/>
        </w:rPr>
        <w:t>采购过程中符合要求的供应商（社会资本）只有1家的，采购人（项目实施机构）或者采购代理机构应当终止竞争性磋商采购活动，发布项目终止公告并说明原因，重新开展采购活动。</w:t>
      </w:r>
    </w:p>
    <w:p>
      <w:pPr>
        <w:numPr>
          <w:ilvl w:val="0"/>
          <w:numId w:val="7"/>
        </w:numPr>
        <w:tabs>
          <w:tab w:val="left" w:pos="567"/>
          <w:tab w:val="left" w:pos="851"/>
        </w:tabs>
        <w:snapToGrid w:val="0"/>
        <w:spacing w:line="360" w:lineRule="auto"/>
        <w:rPr>
          <w:rFonts w:ascii="宋体" w:hAnsi="宋体"/>
          <w:color w:val="auto"/>
          <w:szCs w:val="21"/>
        </w:rPr>
      </w:pPr>
      <w:r>
        <w:rPr>
          <w:rFonts w:hint="eastAsia" w:ascii="宋体" w:hAnsi="宋体"/>
          <w:color w:val="auto"/>
          <w:szCs w:val="21"/>
        </w:rPr>
        <w:t>评审办法</w:t>
      </w:r>
    </w:p>
    <w:p>
      <w:pPr>
        <w:snapToGrid w:val="0"/>
        <w:spacing w:line="360" w:lineRule="auto"/>
        <w:ind w:firstLine="412" w:firstLineChars="196"/>
        <w:rPr>
          <w:rFonts w:ascii="宋体" w:hAnsi="宋体"/>
          <w:color w:val="auto"/>
          <w:szCs w:val="21"/>
        </w:rPr>
      </w:pPr>
      <w:r>
        <w:rPr>
          <w:rFonts w:hint="eastAsia" w:ascii="宋体" w:hAnsi="宋体"/>
          <w:color w:val="auto"/>
          <w:szCs w:val="21"/>
        </w:rPr>
        <w:t>本项目评审办法详见本磋商文件第三部分。</w:t>
      </w:r>
    </w:p>
    <w:p>
      <w:pPr>
        <w:pStyle w:val="4"/>
        <w:jc w:val="center"/>
        <w:rPr>
          <w:color w:val="auto"/>
        </w:rPr>
      </w:pPr>
      <w:bookmarkStart w:id="96" w:name="_Toc22690"/>
      <w:bookmarkStart w:id="97" w:name="_Toc469663676"/>
      <w:bookmarkStart w:id="98" w:name="_Toc18935118"/>
      <w:bookmarkStart w:id="99" w:name="_Toc18934976"/>
      <w:bookmarkStart w:id="100" w:name="_Toc14887"/>
      <w:bookmarkStart w:id="101" w:name="_Toc29283"/>
      <w:bookmarkStart w:id="102" w:name="_Toc8422"/>
      <w:bookmarkStart w:id="103" w:name="_Toc26109"/>
      <w:r>
        <w:rPr>
          <w:rFonts w:hint="eastAsia"/>
          <w:color w:val="auto"/>
        </w:rPr>
        <w:t>（六）关于成交供应商</w:t>
      </w:r>
      <w:bookmarkEnd w:id="96"/>
      <w:bookmarkEnd w:id="97"/>
      <w:bookmarkEnd w:id="98"/>
      <w:bookmarkEnd w:id="99"/>
      <w:bookmarkEnd w:id="100"/>
      <w:bookmarkEnd w:id="101"/>
      <w:bookmarkEnd w:id="102"/>
      <w:bookmarkEnd w:id="103"/>
    </w:p>
    <w:p>
      <w:pPr>
        <w:numPr>
          <w:ilvl w:val="0"/>
          <w:numId w:val="7"/>
        </w:numPr>
        <w:tabs>
          <w:tab w:val="left" w:pos="567"/>
          <w:tab w:val="left" w:pos="851"/>
        </w:tabs>
        <w:snapToGrid w:val="0"/>
        <w:spacing w:line="360" w:lineRule="auto"/>
        <w:rPr>
          <w:rFonts w:ascii="宋体"/>
          <w:b/>
          <w:color w:val="auto"/>
          <w:sz w:val="24"/>
        </w:rPr>
      </w:pPr>
      <w:r>
        <w:rPr>
          <w:rFonts w:hint="eastAsia"/>
          <w:b/>
          <w:color w:val="auto"/>
        </w:rPr>
        <w:t>成交供应商的确定</w:t>
      </w:r>
    </w:p>
    <w:p>
      <w:pPr>
        <w:snapToGrid w:val="0"/>
        <w:spacing w:line="360" w:lineRule="auto"/>
        <w:ind w:left="567" w:leftChars="270"/>
        <w:rPr>
          <w:rFonts w:ascii="宋体" w:hAnsi="宋体"/>
          <w:color w:val="auto"/>
          <w:szCs w:val="21"/>
        </w:rPr>
      </w:pPr>
      <w:r>
        <w:rPr>
          <w:rFonts w:hint="eastAsia" w:ascii="宋体" w:hAnsi="宋体"/>
          <w:color w:val="auto"/>
          <w:szCs w:val="21"/>
        </w:rPr>
        <w:t>采购代理机构自评审结束之日起2个工作日内将评审报告</w:t>
      </w:r>
      <w:r>
        <w:rPr>
          <w:rFonts w:ascii="宋体" w:hAnsi="宋体"/>
          <w:color w:val="auto"/>
          <w:szCs w:val="21"/>
        </w:rPr>
        <w:t>和推荐</w:t>
      </w:r>
      <w:r>
        <w:rPr>
          <w:rFonts w:hint="eastAsia" w:ascii="宋体" w:hAnsi="宋体"/>
          <w:color w:val="auto"/>
          <w:szCs w:val="21"/>
        </w:rPr>
        <w:t>成交</w:t>
      </w:r>
      <w:r>
        <w:rPr>
          <w:rFonts w:ascii="宋体" w:hAnsi="宋体"/>
          <w:color w:val="auto"/>
          <w:szCs w:val="21"/>
        </w:rPr>
        <w:t>意见</w:t>
      </w:r>
      <w:r>
        <w:rPr>
          <w:rFonts w:hint="eastAsia" w:ascii="宋体" w:hAnsi="宋体"/>
          <w:color w:val="auto"/>
          <w:szCs w:val="21"/>
        </w:rPr>
        <w:t>送交采购人。采购人自收到评审报告之日起5个工作日内在评审报告推荐的成交候选人中按顺序确定成交供应商，也可以事先授权磋商小组直接确定成交供应商。</w:t>
      </w:r>
    </w:p>
    <w:p>
      <w:pPr>
        <w:numPr>
          <w:ilvl w:val="0"/>
          <w:numId w:val="7"/>
        </w:numPr>
        <w:tabs>
          <w:tab w:val="left" w:pos="567"/>
          <w:tab w:val="left" w:pos="851"/>
        </w:tabs>
        <w:snapToGrid w:val="0"/>
        <w:spacing w:line="360" w:lineRule="auto"/>
        <w:rPr>
          <w:color w:val="auto"/>
        </w:rPr>
      </w:pPr>
      <w:r>
        <w:rPr>
          <w:rFonts w:hint="eastAsia"/>
          <w:b/>
          <w:color w:val="auto"/>
        </w:rPr>
        <w:t>磋商结果公告</w:t>
      </w:r>
    </w:p>
    <w:p>
      <w:pPr>
        <w:snapToGrid w:val="0"/>
        <w:spacing w:line="360" w:lineRule="auto"/>
        <w:ind w:left="567" w:leftChars="270"/>
        <w:rPr>
          <w:rFonts w:ascii="宋体" w:hAnsi="宋体"/>
          <w:color w:val="auto"/>
          <w:szCs w:val="21"/>
        </w:rPr>
      </w:pPr>
      <w:r>
        <w:rPr>
          <w:rFonts w:hint="eastAsia" w:ascii="宋体" w:hAnsi="宋体"/>
          <w:color w:val="auto"/>
          <w:szCs w:val="21"/>
        </w:rPr>
        <w:t>经采购人确认后，采购代理机构在2个工作日内将成交公告在竞争性磋商公告规定的</w:t>
      </w:r>
      <w:r>
        <w:rPr>
          <w:rFonts w:ascii="宋体" w:hAnsi="宋体"/>
          <w:color w:val="auto"/>
          <w:szCs w:val="21"/>
        </w:rPr>
        <w:t>媒体上</w:t>
      </w:r>
      <w:r>
        <w:rPr>
          <w:rFonts w:hint="eastAsia" w:ascii="宋体" w:hAnsi="宋体"/>
          <w:color w:val="auto"/>
          <w:szCs w:val="21"/>
        </w:rPr>
        <w:t>进行发布，并向成交供应商发出《中标通知书》，向未成交供应商发出《成交结果通知书》，《中标通知书》对成交供应商和采购人具有同等法律效力。</w:t>
      </w:r>
    </w:p>
    <w:p>
      <w:pPr>
        <w:pStyle w:val="4"/>
        <w:jc w:val="center"/>
        <w:rPr>
          <w:color w:val="auto"/>
        </w:rPr>
      </w:pPr>
      <w:bookmarkStart w:id="104" w:name="_Toc111890785"/>
      <w:bookmarkStart w:id="105" w:name="_Toc1645"/>
      <w:bookmarkStart w:id="106" w:name="_Toc29256"/>
      <w:bookmarkStart w:id="107" w:name="_Toc337541101"/>
      <w:bookmarkStart w:id="108" w:name="_Toc18935119"/>
      <w:bookmarkStart w:id="109" w:name="_Toc7961"/>
      <w:bookmarkStart w:id="110" w:name="_Toc30698"/>
      <w:bookmarkStart w:id="111" w:name="_Toc18934977"/>
      <w:bookmarkStart w:id="112" w:name="_Toc23829"/>
      <w:bookmarkStart w:id="113" w:name="_Toc469663677"/>
      <w:bookmarkStart w:id="114" w:name="_Toc337541100"/>
      <w:bookmarkStart w:id="115" w:name="_Toc111890784"/>
      <w:r>
        <w:rPr>
          <w:rFonts w:hint="eastAsia"/>
          <w:color w:val="auto"/>
        </w:rPr>
        <w:t>（七）招标代理服务费</w:t>
      </w:r>
      <w:bookmarkEnd w:id="104"/>
      <w:bookmarkEnd w:id="105"/>
      <w:bookmarkEnd w:id="106"/>
      <w:bookmarkEnd w:id="107"/>
      <w:bookmarkEnd w:id="108"/>
      <w:bookmarkEnd w:id="109"/>
      <w:bookmarkEnd w:id="110"/>
      <w:bookmarkEnd w:id="111"/>
      <w:bookmarkEnd w:id="112"/>
      <w:bookmarkEnd w:id="113"/>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招标代理服务费</w:t>
      </w:r>
    </w:p>
    <w:p>
      <w:pPr>
        <w:snapToGrid w:val="0"/>
        <w:spacing w:line="360" w:lineRule="auto"/>
        <w:rPr>
          <w:rFonts w:ascii="宋体" w:hAnsi="宋体"/>
          <w:color w:val="auto"/>
          <w:szCs w:val="21"/>
        </w:rPr>
      </w:pPr>
      <w:r>
        <w:rPr>
          <w:rFonts w:hint="eastAsia" w:ascii="宋体" w:hAnsi="宋体"/>
          <w:color w:val="auto"/>
          <w:szCs w:val="21"/>
        </w:rPr>
        <w:t>本次招标代理服务费按磋商须知前附表第12项规定收取。</w:t>
      </w:r>
    </w:p>
    <w:p>
      <w:pPr>
        <w:pStyle w:val="4"/>
        <w:jc w:val="center"/>
        <w:rPr>
          <w:color w:val="auto"/>
        </w:rPr>
      </w:pPr>
      <w:bookmarkStart w:id="116" w:name="_Toc18934978"/>
      <w:bookmarkStart w:id="117" w:name="_Toc29023"/>
      <w:bookmarkStart w:id="118" w:name="_Toc469663678"/>
      <w:bookmarkStart w:id="119" w:name="_Toc28613"/>
      <w:bookmarkStart w:id="120" w:name="_Toc24587"/>
      <w:bookmarkStart w:id="121" w:name="_Toc544"/>
      <w:bookmarkStart w:id="122" w:name="_Toc18935120"/>
      <w:bookmarkStart w:id="123" w:name="_Toc27573"/>
      <w:r>
        <w:rPr>
          <w:rFonts w:hint="eastAsia"/>
          <w:color w:val="auto"/>
        </w:rPr>
        <w:t>（八）授予合同</w:t>
      </w:r>
      <w:bookmarkEnd w:id="114"/>
      <w:bookmarkEnd w:id="115"/>
      <w:bookmarkEnd w:id="116"/>
      <w:bookmarkEnd w:id="117"/>
      <w:bookmarkEnd w:id="118"/>
      <w:bookmarkEnd w:id="119"/>
      <w:bookmarkEnd w:id="120"/>
      <w:bookmarkEnd w:id="121"/>
      <w:bookmarkEnd w:id="122"/>
      <w:bookmarkEnd w:id="123"/>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合同的订立</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采购人自中标通知书发出之日起三十日内，按磋商文件要求和成交供应商响应文件及承诺与成交供应商签订合同，但不得偏离磋商文件和成交供应商响应文件的范围和实质性内容。</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成交供应商在收到《中标通知书》后，应按照《中标通知书》指定的时间、地点，派遣其授权代表前往与采购人签署合同，并向</w:t>
      </w:r>
      <w:r>
        <w:rPr>
          <w:rFonts w:hint="eastAsia" w:ascii="宋体" w:hAnsi="宋体"/>
          <w:b/>
          <w:color w:val="auto"/>
          <w:szCs w:val="21"/>
        </w:rPr>
        <w:t>采购代理机构提交一份合同原件备案</w:t>
      </w:r>
      <w:r>
        <w:rPr>
          <w:rFonts w:hint="eastAsia" w:ascii="宋体" w:hAnsi="宋体"/>
          <w:color w:val="auto"/>
          <w:szCs w:val="21"/>
        </w:rPr>
        <w:t>。</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合同的履行</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成交候选人采购人若遇排名第一的供应商放弃成交资格、</w:t>
      </w:r>
      <w:r>
        <w:rPr>
          <w:rFonts w:hint="eastAsia" w:ascii="宋体" w:hAnsi="宋体"/>
          <w:bCs/>
          <w:color w:val="auto"/>
          <w:szCs w:val="21"/>
        </w:rPr>
        <w:t>不按要求与采购人签订采购合同、因不可抗拒力或者被查实存在影响成交结果的违法行为等情况，不符合成交条件的，采购人可按顺序确定综合得分排名第二的成交候选人为成交供应商，以此类推，或者重新组织采购。</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采购合同订立后，合同各方不得擅自变更、中止或者终止合同。采购合同需要变更的，采购人应将有关合同变更内容，以书面形式报监督管理部门备案；因特殊情况需要中止或终止合同的，采购人应将中止或终止合同的理由以及相应措施，以书面形式报监督管理部门备案。</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除不可抗力等因素外，中标通知书发出后，采购人改变成交结果，或者成交供应商拒绝签订政府采购合同的，应当承担相应的法律责任。</w:t>
      </w:r>
    </w:p>
    <w:p>
      <w:pPr>
        <w:pStyle w:val="4"/>
        <w:spacing w:before="120"/>
        <w:ind w:left="720" w:hanging="720"/>
        <w:jc w:val="center"/>
        <w:rPr>
          <w:color w:val="auto"/>
        </w:rPr>
      </w:pPr>
      <w:bookmarkStart w:id="124" w:name="_Toc8364"/>
      <w:bookmarkStart w:id="125" w:name="_Toc18935121"/>
      <w:bookmarkStart w:id="126" w:name="_Toc18934979"/>
      <w:bookmarkStart w:id="127" w:name="_Toc55642210"/>
      <w:bookmarkStart w:id="128" w:name="_Toc337541102"/>
      <w:bookmarkStart w:id="129" w:name="_Toc5691"/>
      <w:bookmarkStart w:id="130" w:name="_Toc23823"/>
      <w:bookmarkStart w:id="131" w:name="_Toc22105"/>
      <w:bookmarkStart w:id="132" w:name="_Toc28393"/>
      <w:bookmarkStart w:id="133" w:name="_Toc469663679"/>
      <w:r>
        <w:rPr>
          <w:rFonts w:hint="eastAsia"/>
          <w:color w:val="auto"/>
        </w:rPr>
        <w:t>（九）关于询问、质疑</w:t>
      </w:r>
      <w:bookmarkEnd w:id="124"/>
      <w:bookmarkEnd w:id="125"/>
      <w:bookmarkEnd w:id="126"/>
      <w:bookmarkEnd w:id="127"/>
      <w:bookmarkEnd w:id="128"/>
      <w:bookmarkEnd w:id="129"/>
      <w:bookmarkEnd w:id="130"/>
      <w:bookmarkEnd w:id="131"/>
      <w:bookmarkEnd w:id="132"/>
      <w:bookmarkEnd w:id="133"/>
    </w:p>
    <w:p>
      <w:pPr>
        <w:numPr>
          <w:ilvl w:val="0"/>
          <w:numId w:val="7"/>
        </w:numPr>
        <w:tabs>
          <w:tab w:val="left" w:pos="567"/>
          <w:tab w:val="left" w:pos="851"/>
        </w:tabs>
        <w:snapToGrid w:val="0"/>
        <w:spacing w:line="360" w:lineRule="auto"/>
        <w:rPr>
          <w:rFonts w:ascii="宋体"/>
          <w:b/>
          <w:color w:val="auto"/>
          <w:sz w:val="24"/>
        </w:rPr>
      </w:pPr>
      <w:bookmarkStart w:id="134" w:name="_Toc75597726"/>
      <w:bookmarkStart w:id="135" w:name="_Toc91561948"/>
      <w:bookmarkStart w:id="136" w:name="_Toc113768177"/>
      <w:bookmarkStart w:id="137" w:name="_Toc113703097"/>
      <w:bookmarkStart w:id="138" w:name="_Toc92873902"/>
      <w:bookmarkStart w:id="139" w:name="_Toc108587470"/>
      <w:bookmarkStart w:id="140" w:name="_Toc93474366"/>
      <w:bookmarkStart w:id="141" w:name="_Toc99277175"/>
      <w:bookmarkStart w:id="142" w:name="_Toc91564125"/>
      <w:bookmarkStart w:id="143" w:name="_Toc91562832"/>
      <w:r>
        <w:rPr>
          <w:rFonts w:hint="eastAsia" w:ascii="宋体"/>
          <w:b/>
          <w:color w:val="auto"/>
          <w:sz w:val="24"/>
        </w:rPr>
        <w:t>关于询问</w:t>
      </w:r>
    </w:p>
    <w:p>
      <w:pPr>
        <w:snapToGrid w:val="0"/>
        <w:spacing w:line="360" w:lineRule="auto"/>
        <w:ind w:left="567" w:leftChars="270"/>
        <w:rPr>
          <w:rFonts w:ascii="宋体" w:hAnsi="宋体"/>
          <w:color w:val="auto"/>
          <w:szCs w:val="21"/>
        </w:rPr>
      </w:pPr>
      <w:r>
        <w:rPr>
          <w:rFonts w:hint="eastAsia" w:ascii="宋体" w:hAnsi="宋体"/>
          <w:color w:val="auto"/>
          <w:szCs w:val="21"/>
        </w:rPr>
        <w:t>供应商对政府采购活动事项（磋商文件、采购过程和成交结果）有疑问的，可以向采购人或采购代理机构提出询问，采购人或采购代理机构将作出答复，但答复的内容不涉及商业秘密。询问可以口头方式提出，也可以书面方式提出，书面方式包括但不限于传真、信函、电子邮件。联系方式详见《磋商邀请》。</w:t>
      </w:r>
    </w:p>
    <w:p>
      <w:pPr>
        <w:numPr>
          <w:ilvl w:val="0"/>
          <w:numId w:val="7"/>
        </w:numPr>
        <w:tabs>
          <w:tab w:val="left" w:pos="567"/>
          <w:tab w:val="left" w:pos="851"/>
        </w:tabs>
        <w:snapToGrid w:val="0"/>
        <w:spacing w:line="360" w:lineRule="auto"/>
        <w:rPr>
          <w:rFonts w:ascii="宋体"/>
          <w:b/>
          <w:color w:val="auto"/>
          <w:sz w:val="24"/>
        </w:rPr>
      </w:pPr>
      <w:r>
        <w:rPr>
          <w:rFonts w:hint="eastAsia" w:ascii="宋体"/>
          <w:b/>
          <w:color w:val="auto"/>
          <w:sz w:val="24"/>
        </w:rPr>
        <w:t>关于质疑</w:t>
      </w:r>
      <w:bookmarkEnd w:id="134"/>
      <w:bookmarkEnd w:id="135"/>
      <w:bookmarkEnd w:id="136"/>
      <w:bookmarkEnd w:id="137"/>
      <w:bookmarkEnd w:id="138"/>
      <w:bookmarkEnd w:id="139"/>
      <w:bookmarkEnd w:id="140"/>
      <w:bookmarkEnd w:id="141"/>
      <w:bookmarkEnd w:id="142"/>
      <w:bookmarkEnd w:id="143"/>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质疑形式</w:t>
      </w:r>
    </w:p>
    <w:p>
      <w:pPr>
        <w:snapToGrid w:val="0"/>
        <w:spacing w:line="360" w:lineRule="auto"/>
        <w:ind w:left="567" w:leftChars="270"/>
        <w:rPr>
          <w:rFonts w:ascii="宋体" w:hAnsi="宋体"/>
          <w:color w:val="auto"/>
          <w:szCs w:val="21"/>
        </w:rPr>
      </w:pPr>
      <w:r>
        <w:rPr>
          <w:rFonts w:hint="eastAsia" w:ascii="宋体" w:hAnsi="宋体"/>
          <w:color w:val="auto"/>
          <w:szCs w:val="21"/>
        </w:rPr>
        <w:t>供应商认为采购过程和采购结果使自己的权益受到损害的，可以在质疑有效期内，将质疑书以书面原件并当面递交至采购人或采购代理机构，逾期质疑无效。供应商以电话、传真或电邮形式提交的质疑属于无效质疑。</w:t>
      </w:r>
    </w:p>
    <w:p>
      <w:pPr>
        <w:snapToGrid w:val="0"/>
        <w:spacing w:line="360" w:lineRule="auto"/>
        <w:ind w:left="567" w:leftChars="270"/>
        <w:rPr>
          <w:rFonts w:ascii="宋体" w:hAnsi="宋体"/>
          <w:color w:val="auto"/>
          <w:szCs w:val="21"/>
        </w:rPr>
      </w:pPr>
      <w:r>
        <w:rPr>
          <w:rFonts w:hint="eastAsia" w:ascii="宋体" w:hAnsi="宋体"/>
          <w:color w:val="auto"/>
          <w:szCs w:val="21"/>
        </w:rPr>
        <w:t>质疑内容不得含有虚假、恶意成分。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或举证不全查无实据被驳回次数在一年内达三次以上，将纳入不良行为记录名单并上报政府采购监督管理部门依法处理。</w:t>
      </w:r>
    </w:p>
    <w:p>
      <w:pPr>
        <w:snapToGrid w:val="0"/>
        <w:spacing w:line="360" w:lineRule="auto"/>
        <w:ind w:left="567" w:leftChars="270"/>
        <w:rPr>
          <w:rFonts w:ascii="宋体" w:hAnsi="宋体"/>
          <w:color w:val="auto"/>
          <w:szCs w:val="21"/>
        </w:rPr>
      </w:pPr>
      <w:r>
        <w:rPr>
          <w:rFonts w:hint="eastAsia" w:ascii="宋体" w:hAnsi="宋体"/>
          <w:color w:val="auto"/>
          <w:szCs w:val="21"/>
        </w:rPr>
        <w:t>质疑书应包括的内容：具体的质疑事项、事实依据及相关确凿的证明材料、明确的请求、供应商名称及地址、授权代表姓名及其联系电话、质疑时间。质疑书应当署名并由法定代表人或授权代表签字并加盖公章。供应商提交质疑书时需提供质疑书原件、法定代表人授权委托书（应载明委托代理的具体权限及事项）及授权代表身份证复印件。</w:t>
      </w:r>
    </w:p>
    <w:p>
      <w:pPr>
        <w:numPr>
          <w:ilvl w:val="1"/>
          <w:numId w:val="7"/>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联系方式</w:t>
      </w:r>
    </w:p>
    <w:bookmarkEnd w:id="4"/>
    <w:bookmarkEnd w:id="5"/>
    <w:p>
      <w:pPr>
        <w:snapToGrid w:val="0"/>
        <w:spacing w:line="360" w:lineRule="auto"/>
        <w:ind w:firstLine="420" w:firstLineChars="200"/>
        <w:rPr>
          <w:rFonts w:ascii="宋体"/>
          <w:bCs/>
          <w:color w:val="auto"/>
          <w:szCs w:val="21"/>
        </w:rPr>
      </w:pPr>
      <w:bookmarkStart w:id="144" w:name="_Hlt37749100"/>
      <w:bookmarkEnd w:id="144"/>
      <w:bookmarkStart w:id="145" w:name="_Toc469663680"/>
      <w:bookmarkStart w:id="146" w:name="_Toc360607080"/>
      <w:bookmarkStart w:id="147" w:name="_Toc370898717"/>
      <w:bookmarkStart w:id="148" w:name="_Toc37486830"/>
      <w:bookmarkStart w:id="149" w:name="_Toc206584372"/>
      <w:bookmarkStart w:id="150" w:name="_Toc307826051"/>
      <w:bookmarkStart w:id="151" w:name="_Toc307826680"/>
      <w:bookmarkStart w:id="152" w:name="_Hlt37749135"/>
      <w:bookmarkStart w:id="153" w:name="_Toc35412191"/>
      <w:bookmarkStart w:id="154" w:name="_Toc37051848"/>
      <w:bookmarkStart w:id="155" w:name="_Toc34814721"/>
      <w:bookmarkStart w:id="156" w:name="_Toc17693875"/>
      <w:r>
        <w:rPr>
          <w:rFonts w:hint="eastAsia" w:ascii="宋体"/>
          <w:bCs/>
          <w:color w:val="auto"/>
          <w:szCs w:val="21"/>
        </w:rPr>
        <w:t>受理机构：广东熙泽企业管理有限公司</w:t>
      </w:r>
    </w:p>
    <w:p>
      <w:pPr>
        <w:snapToGrid w:val="0"/>
        <w:spacing w:line="360" w:lineRule="auto"/>
        <w:ind w:firstLine="420" w:firstLineChars="200"/>
        <w:rPr>
          <w:rFonts w:ascii="宋体"/>
          <w:bCs/>
          <w:color w:val="auto"/>
          <w:szCs w:val="21"/>
        </w:rPr>
      </w:pPr>
      <w:r>
        <w:rPr>
          <w:rFonts w:hint="eastAsia" w:ascii="宋体"/>
          <w:bCs/>
          <w:color w:val="auto"/>
          <w:szCs w:val="21"/>
        </w:rPr>
        <w:t>质疑地址：佛山市高明区荷城街道荷富路783号高明体育中心综合体育馆C门三楼</w:t>
      </w:r>
    </w:p>
    <w:p>
      <w:pPr>
        <w:snapToGrid w:val="0"/>
        <w:spacing w:line="360" w:lineRule="auto"/>
        <w:ind w:firstLine="420" w:firstLineChars="200"/>
        <w:rPr>
          <w:rFonts w:ascii="宋体"/>
          <w:bCs/>
          <w:color w:val="auto"/>
          <w:szCs w:val="21"/>
        </w:rPr>
      </w:pPr>
      <w:r>
        <w:rPr>
          <w:rFonts w:hint="eastAsia" w:ascii="宋体"/>
          <w:bCs/>
          <w:color w:val="auto"/>
          <w:szCs w:val="21"/>
        </w:rPr>
        <w:t>质疑电话：0757-88631138</w:t>
      </w:r>
    </w:p>
    <w:p>
      <w:pPr>
        <w:snapToGrid w:val="0"/>
        <w:spacing w:line="360" w:lineRule="auto"/>
        <w:ind w:firstLine="420" w:firstLineChars="200"/>
        <w:rPr>
          <w:rFonts w:ascii="宋体"/>
          <w:bCs/>
          <w:color w:val="auto"/>
          <w:szCs w:val="21"/>
        </w:rPr>
      </w:pPr>
      <w:r>
        <w:rPr>
          <w:rFonts w:hint="eastAsia" w:ascii="宋体"/>
          <w:bCs/>
          <w:color w:val="auto"/>
          <w:szCs w:val="21"/>
        </w:rPr>
        <w:t>联系人：梁小姐</w:t>
      </w:r>
    </w:p>
    <w:p>
      <w:pPr>
        <w:pStyle w:val="4"/>
        <w:spacing w:before="120"/>
        <w:ind w:left="720" w:hanging="720"/>
        <w:jc w:val="center"/>
        <w:rPr>
          <w:color w:val="auto"/>
        </w:rPr>
      </w:pPr>
      <w:bookmarkStart w:id="157" w:name="_Toc18935122"/>
      <w:bookmarkStart w:id="158" w:name="_Toc28530"/>
      <w:bookmarkStart w:id="159" w:name="_Toc920"/>
      <w:bookmarkStart w:id="160" w:name="_Toc25872"/>
      <w:bookmarkStart w:id="161" w:name="_Toc16827"/>
      <w:bookmarkStart w:id="162" w:name="_Toc18934980"/>
      <w:bookmarkStart w:id="163" w:name="_Toc21418"/>
      <w:r>
        <w:rPr>
          <w:rFonts w:hint="eastAsia"/>
          <w:color w:val="auto"/>
        </w:rPr>
        <w:t>（十）关于投诉</w:t>
      </w:r>
      <w:bookmarkEnd w:id="145"/>
      <w:bookmarkEnd w:id="146"/>
      <w:bookmarkEnd w:id="147"/>
      <w:bookmarkEnd w:id="157"/>
      <w:bookmarkEnd w:id="158"/>
      <w:bookmarkEnd w:id="159"/>
      <w:bookmarkEnd w:id="160"/>
      <w:bookmarkEnd w:id="161"/>
      <w:bookmarkEnd w:id="162"/>
      <w:bookmarkEnd w:id="163"/>
    </w:p>
    <w:p>
      <w:pPr>
        <w:numPr>
          <w:ilvl w:val="0"/>
          <w:numId w:val="7"/>
        </w:numPr>
        <w:tabs>
          <w:tab w:val="left" w:pos="567"/>
          <w:tab w:val="left" w:pos="851"/>
        </w:tabs>
        <w:snapToGrid w:val="0"/>
        <w:spacing w:line="360" w:lineRule="auto"/>
        <w:rPr>
          <w:rFonts w:ascii="宋体"/>
          <w:b/>
          <w:bCs/>
          <w:color w:val="auto"/>
          <w:szCs w:val="21"/>
        </w:rPr>
      </w:pPr>
      <w:r>
        <w:rPr>
          <w:rFonts w:hint="eastAsia" w:ascii="宋体"/>
          <w:b/>
          <w:bCs/>
          <w:color w:val="auto"/>
          <w:szCs w:val="21"/>
        </w:rPr>
        <w:t>投诉形式</w:t>
      </w:r>
    </w:p>
    <w:p>
      <w:pPr>
        <w:snapToGrid w:val="0"/>
        <w:spacing w:line="360" w:lineRule="auto"/>
        <w:ind w:left="567" w:leftChars="270"/>
        <w:rPr>
          <w:rFonts w:ascii="宋体" w:hAnsi="宋体"/>
          <w:color w:val="auto"/>
          <w:szCs w:val="21"/>
        </w:rPr>
      </w:pPr>
      <w:r>
        <w:rPr>
          <w:rFonts w:hint="eastAsia" w:ascii="宋体" w:hAnsi="宋体"/>
          <w:color w:val="auto"/>
          <w:szCs w:val="21"/>
        </w:rPr>
        <w:t>质疑供应商对采购人、采购代理机构的质疑答复不满意，或者采购人、采购代理机构未在规定期限内作出答复的，可以在答复期满后15个工作日内向采购人的同级政府采购监督管理部门提起投诉。投诉时，应以书面形式。采取口头或电话投诉的，应及时补交书面材料。</w:t>
      </w:r>
    </w:p>
    <w:p>
      <w:pPr>
        <w:snapToGrid w:val="0"/>
        <w:spacing w:line="360" w:lineRule="auto"/>
        <w:ind w:firstLine="420" w:firstLineChars="200"/>
        <w:rPr>
          <w:rFonts w:ascii="宋体"/>
          <w:bCs/>
          <w:color w:val="auto"/>
          <w:szCs w:val="21"/>
        </w:rPr>
      </w:pPr>
      <w:r>
        <w:rPr>
          <w:rFonts w:ascii="宋体"/>
          <w:bCs/>
          <w:color w:val="auto"/>
          <w:szCs w:val="21"/>
        </w:rPr>
        <w:br w:type="page"/>
      </w:r>
    </w:p>
    <w:p>
      <w:pPr>
        <w:pStyle w:val="3"/>
        <w:spacing w:before="0" w:after="0" w:line="360" w:lineRule="auto"/>
        <w:rPr>
          <w:color w:val="auto"/>
        </w:rPr>
      </w:pPr>
      <w:bookmarkStart w:id="164" w:name="_Toc469663681"/>
      <w:bookmarkStart w:id="165" w:name="_Toc7251"/>
      <w:r>
        <w:rPr>
          <w:rFonts w:hint="eastAsia"/>
          <w:color w:val="auto"/>
        </w:rPr>
        <w:t>第三章 用户需求</w:t>
      </w:r>
      <w:bookmarkEnd w:id="164"/>
      <w:bookmarkEnd w:id="165"/>
    </w:p>
    <w:bookmarkEnd w:id="148"/>
    <w:bookmarkEnd w:id="149"/>
    <w:bookmarkEnd w:id="150"/>
    <w:bookmarkEnd w:id="151"/>
    <w:p>
      <w:pPr>
        <w:spacing w:line="460" w:lineRule="exact"/>
        <w:jc w:val="center"/>
        <w:rPr>
          <w:rFonts w:ascii="宋体" w:hAnsi="宋体"/>
          <w:b/>
          <w:color w:val="auto"/>
          <w:sz w:val="24"/>
        </w:rPr>
      </w:pPr>
      <w:bookmarkStart w:id="166" w:name="_Toc469663682"/>
      <w:bookmarkStart w:id="167" w:name="_Toc57560596"/>
      <w:bookmarkStart w:id="168" w:name="_Toc108597122"/>
      <w:bookmarkStart w:id="169" w:name="_Toc59271279"/>
      <w:bookmarkStart w:id="170" w:name="_Toc57643893"/>
      <w:bookmarkStart w:id="171" w:name="_Toc58232752"/>
      <w:bookmarkStart w:id="172" w:name="_Toc58655986"/>
      <w:r>
        <w:rPr>
          <w:rFonts w:hint="eastAsia"/>
          <w:b/>
          <w:color w:val="auto"/>
          <w:sz w:val="24"/>
        </w:rPr>
        <w:t>佛山市高明区人民医院布草衣服洗涤服务项目用户需求</w:t>
      </w:r>
    </w:p>
    <w:p>
      <w:pPr>
        <w:spacing w:line="460" w:lineRule="exact"/>
        <w:jc w:val="center"/>
        <w:rPr>
          <w:rFonts w:ascii="宋体" w:hAnsi="宋体"/>
          <w:b/>
          <w:color w:val="auto"/>
          <w:sz w:val="24"/>
        </w:rPr>
      </w:pPr>
    </w:p>
    <w:p>
      <w:pPr>
        <w:spacing w:line="460" w:lineRule="exact"/>
        <w:outlineLvl w:val="0"/>
        <w:rPr>
          <w:rFonts w:ascii="宋体" w:hAnsi="宋体"/>
          <w:b/>
          <w:snapToGrid w:val="0"/>
          <w:color w:val="auto"/>
          <w:kern w:val="0"/>
          <w:szCs w:val="21"/>
        </w:rPr>
      </w:pPr>
      <w:r>
        <w:rPr>
          <w:rFonts w:hint="eastAsia" w:ascii="宋体" w:hAnsi="宋体"/>
          <w:b/>
          <w:snapToGrid w:val="0"/>
          <w:color w:val="auto"/>
          <w:kern w:val="0"/>
          <w:szCs w:val="21"/>
        </w:rPr>
        <w:t>一、总体要求</w:t>
      </w:r>
    </w:p>
    <w:p>
      <w:pPr>
        <w:numPr>
          <w:ilvl w:val="0"/>
          <w:numId w:val="16"/>
        </w:numPr>
        <w:tabs>
          <w:tab w:val="left" w:pos="360"/>
        </w:tabs>
        <w:spacing w:line="460" w:lineRule="exact"/>
        <w:rPr>
          <w:rFonts w:ascii="宋体" w:hAnsi="宋体"/>
          <w:snapToGrid w:val="0"/>
          <w:color w:val="auto"/>
          <w:kern w:val="0"/>
          <w:szCs w:val="21"/>
        </w:rPr>
      </w:pPr>
      <w:r>
        <w:rPr>
          <w:rFonts w:hint="eastAsia" w:ascii="宋体" w:hAnsi="宋体"/>
          <w:snapToGrid w:val="0"/>
          <w:color w:val="auto"/>
          <w:kern w:val="0"/>
          <w:szCs w:val="21"/>
        </w:rPr>
        <w:t>中标人不得在服务期限内将本项目的医疗洗涤服务转包或分包。</w:t>
      </w:r>
    </w:p>
    <w:p>
      <w:pPr>
        <w:numPr>
          <w:ilvl w:val="0"/>
          <w:numId w:val="16"/>
        </w:numPr>
        <w:tabs>
          <w:tab w:val="left" w:pos="360"/>
        </w:tabs>
        <w:spacing w:line="460" w:lineRule="exact"/>
        <w:rPr>
          <w:rFonts w:ascii="宋体" w:hAnsi="宋体"/>
          <w:snapToGrid w:val="0"/>
          <w:color w:val="auto"/>
          <w:kern w:val="0"/>
          <w:szCs w:val="21"/>
        </w:rPr>
      </w:pPr>
      <w:r>
        <w:rPr>
          <w:rFonts w:hint="eastAsia" w:ascii="宋体" w:hAnsi="宋体"/>
          <w:snapToGrid w:val="0"/>
          <w:color w:val="auto"/>
          <w:kern w:val="0"/>
          <w:szCs w:val="21"/>
        </w:rPr>
        <w:t>投标人需具有洗涤被服的执业</w:t>
      </w:r>
      <w:r>
        <w:rPr>
          <w:rFonts w:hint="eastAsia" w:ascii="宋体" w:hAnsi="宋体"/>
          <w:snapToGrid w:val="0"/>
          <w:color w:val="auto"/>
          <w:kern w:val="0"/>
          <w:szCs w:val="21"/>
        </w:rPr>
        <w:t>资质，具有洗涤医疗被服的相应厂房、洗涤设备、供水供电设施及运输设备；厂房、设备、设施及管理要符合国家环保、工商、卫生、防疫等部门的有关要求。投标人应在投标文件中列表说明相应厂房、洗涤设备、供水供电设施及运输设备情况。</w:t>
      </w:r>
    </w:p>
    <w:p>
      <w:pPr>
        <w:numPr>
          <w:ilvl w:val="0"/>
          <w:numId w:val="16"/>
        </w:numPr>
        <w:tabs>
          <w:tab w:val="left" w:pos="360"/>
        </w:tabs>
        <w:spacing w:line="460" w:lineRule="exact"/>
        <w:rPr>
          <w:rFonts w:ascii="宋体" w:hAnsi="宋体"/>
          <w:snapToGrid w:val="0"/>
          <w:color w:val="auto"/>
          <w:kern w:val="0"/>
          <w:szCs w:val="21"/>
        </w:rPr>
      </w:pPr>
      <w:r>
        <w:rPr>
          <w:rFonts w:hint="eastAsia" w:ascii="宋体" w:hAnsi="宋体"/>
          <w:snapToGrid w:val="0"/>
          <w:color w:val="auto"/>
          <w:kern w:val="0"/>
          <w:szCs w:val="21"/>
        </w:rPr>
        <w:t>投标人必须具有增加本项目所需的洗涤能力，并在标书中列表说明投标人每日最大洗涤衣物量及现有每日洗涤衣物量。</w:t>
      </w:r>
    </w:p>
    <w:p>
      <w:pPr>
        <w:numPr>
          <w:ilvl w:val="0"/>
          <w:numId w:val="16"/>
        </w:numPr>
        <w:tabs>
          <w:tab w:val="left" w:pos="360"/>
        </w:tabs>
        <w:spacing w:line="460" w:lineRule="exact"/>
        <w:rPr>
          <w:rFonts w:ascii="宋体" w:hAnsi="宋体"/>
          <w:snapToGrid w:val="0"/>
          <w:color w:val="auto"/>
          <w:kern w:val="0"/>
          <w:szCs w:val="21"/>
        </w:rPr>
      </w:pPr>
      <w:r>
        <w:rPr>
          <w:rFonts w:hint="eastAsia" w:ascii="宋体" w:hAnsi="宋体"/>
          <w:snapToGrid w:val="0"/>
          <w:color w:val="auto"/>
          <w:kern w:val="0"/>
          <w:szCs w:val="21"/>
        </w:rPr>
        <w:t>投标人洗涤被服必须符合市级防疫部门提供的关于“公共用品消毒”，“清洗判定标准”。并在投标文件说明被服洗涤流程及操作规程。</w:t>
      </w:r>
    </w:p>
    <w:p>
      <w:pPr>
        <w:numPr>
          <w:ilvl w:val="0"/>
          <w:numId w:val="16"/>
        </w:numPr>
        <w:tabs>
          <w:tab w:val="left" w:pos="360"/>
        </w:tabs>
        <w:spacing w:line="460" w:lineRule="exact"/>
        <w:rPr>
          <w:rFonts w:ascii="宋体" w:hAnsi="宋体"/>
          <w:snapToGrid w:val="0"/>
          <w:color w:val="auto"/>
          <w:kern w:val="0"/>
          <w:szCs w:val="21"/>
        </w:rPr>
      </w:pPr>
      <w:r>
        <w:rPr>
          <w:rFonts w:hint="eastAsia" w:ascii="宋体" w:hAnsi="宋体"/>
          <w:snapToGrid w:val="0"/>
          <w:color w:val="auto"/>
          <w:kern w:val="0"/>
          <w:szCs w:val="21"/>
        </w:rPr>
        <w:t>投标人用于医疗被服衣物的洗涤、起渍、消毒原料必须符合防疫部门提供的关于“公共用品消毒”，“清洗判定标准”。投标人在投标文件中列表说明用于医疗被服使用洗涤、起渍、消毒原料的名称、品牌、参数。并列表说明用于医疗被服使用洗涤、起渍、消毒的原料用量标准。</w:t>
      </w:r>
    </w:p>
    <w:p>
      <w:pPr>
        <w:numPr>
          <w:ilvl w:val="0"/>
          <w:numId w:val="16"/>
        </w:numPr>
        <w:tabs>
          <w:tab w:val="left" w:pos="360"/>
        </w:tabs>
        <w:spacing w:line="460" w:lineRule="exact"/>
        <w:rPr>
          <w:rFonts w:ascii="宋体" w:hAnsi="宋体"/>
          <w:snapToGrid w:val="0"/>
          <w:color w:val="auto"/>
          <w:kern w:val="0"/>
          <w:szCs w:val="21"/>
        </w:rPr>
      </w:pPr>
      <w:r>
        <w:rPr>
          <w:rFonts w:hint="eastAsia" w:ascii="宋体" w:hAnsi="宋体"/>
          <w:snapToGrid w:val="0"/>
          <w:color w:val="auto"/>
          <w:kern w:val="0"/>
          <w:szCs w:val="21"/>
        </w:rPr>
        <w:t>中标服务商应配备不少于6名工作人员(其中总院院区4人，妇幼院区2 人）到临床各科开展收污衣、送洁衣服务。</w:t>
      </w:r>
    </w:p>
    <w:p>
      <w:pPr>
        <w:pStyle w:val="17"/>
        <w:spacing w:line="460" w:lineRule="exact"/>
        <w:ind w:left="360" w:hanging="360" w:hangingChars="150"/>
        <w:rPr>
          <w:rFonts w:hAnsi="宋体" w:cs="Times New Roman"/>
          <w:snapToGrid w:val="0"/>
          <w:color w:val="auto"/>
          <w:kern w:val="0"/>
        </w:rPr>
      </w:pPr>
      <w:r>
        <w:rPr>
          <w:rFonts w:hint="eastAsia" w:hAnsi="宋体" w:cs="Times New Roman"/>
          <w:snapToGrid w:val="0"/>
          <w:color w:val="auto"/>
          <w:kern w:val="0"/>
        </w:rPr>
        <w:t>7、服务期限：自签订合同之日起叁年。因特殊原因，采购人未能于合同结束日交接的，中标人必须无条件接受按合同结束日所在月份应收费用标准及服务要求标准延长不多于三个月的过渡期服务，以保证医院洗涤服务需要。延长服务期间，中标人收费以月度为计算单位。</w:t>
      </w:r>
    </w:p>
    <w:p>
      <w:pPr>
        <w:spacing w:line="460" w:lineRule="exact"/>
        <w:outlineLvl w:val="0"/>
        <w:rPr>
          <w:rFonts w:ascii="宋体" w:hAnsi="宋体"/>
          <w:b/>
          <w:bCs/>
          <w:snapToGrid w:val="0"/>
          <w:color w:val="auto"/>
          <w:kern w:val="0"/>
          <w:szCs w:val="21"/>
        </w:rPr>
      </w:pPr>
      <w:r>
        <w:rPr>
          <w:rFonts w:hint="eastAsia" w:ascii="宋体" w:hAnsi="宋体"/>
          <w:b/>
          <w:bCs/>
          <w:snapToGrid w:val="0"/>
          <w:color w:val="auto"/>
          <w:kern w:val="0"/>
          <w:szCs w:val="21"/>
        </w:rPr>
        <w:t>二、项目概况、招标内容及范围</w:t>
      </w:r>
    </w:p>
    <w:p>
      <w:pPr>
        <w:spacing w:line="460" w:lineRule="exact"/>
        <w:ind w:left="210" w:hanging="210" w:hangingChars="100"/>
        <w:rPr>
          <w:rFonts w:ascii="宋体" w:hAnsi="宋体"/>
          <w:snapToGrid w:val="0"/>
          <w:color w:val="auto"/>
          <w:kern w:val="0"/>
          <w:szCs w:val="21"/>
          <w:highlight w:val="yellow"/>
        </w:rPr>
      </w:pPr>
      <w:r>
        <w:rPr>
          <w:rFonts w:hint="eastAsia" w:ascii="宋体" w:hAnsi="宋体"/>
          <w:snapToGrid w:val="0"/>
          <w:color w:val="auto"/>
          <w:kern w:val="0"/>
          <w:szCs w:val="21"/>
        </w:rPr>
        <w:t>1、本项目为高明区人民医院被服洗涤及运送服务采购项目。投标人必须对本项目招标文件要求的被服洗涤价格的折扣率进行报价，超出招标文件报价要求的按废标处理。洗衣服务费金额按每月实际完成洗涤量的金额支付95%，余下5%的月服务费余额待年终考核达标后累加一次性结清；年支付服务费金额原则上不超过人民币202万元，少于年总金额限额人民币202万元（含人民币202万元）按实际发生额结算，若有超过人民币202万元的情况，根据医</w:t>
      </w:r>
      <w:r>
        <w:rPr>
          <w:rFonts w:hint="eastAsia" w:ascii="宋体" w:hAnsi="宋体"/>
          <w:bCs/>
          <w:snapToGrid w:val="0"/>
          <w:color w:val="auto"/>
          <w:kern w:val="0"/>
          <w:szCs w:val="21"/>
        </w:rPr>
        <w:t xml:space="preserve">院的业务情况可适当调整总限额，每年调整幅度原则上不超过5万元人民币。 </w:t>
      </w:r>
    </w:p>
    <w:p>
      <w:pPr>
        <w:spacing w:line="460" w:lineRule="exact"/>
        <w:ind w:left="210" w:hanging="210" w:hangingChars="100"/>
        <w:rPr>
          <w:rFonts w:ascii="宋体" w:hAnsi="宋体"/>
          <w:snapToGrid w:val="0"/>
          <w:color w:val="auto"/>
          <w:kern w:val="0"/>
          <w:szCs w:val="21"/>
          <w:highlight w:val="green"/>
        </w:rPr>
      </w:pPr>
      <w:r>
        <w:rPr>
          <w:rFonts w:hint="eastAsia" w:ascii="宋体" w:hAnsi="宋体"/>
          <w:snapToGrid w:val="0"/>
          <w:color w:val="auto"/>
          <w:kern w:val="0"/>
          <w:szCs w:val="21"/>
        </w:rPr>
        <w:t>2、本项目招标内容及范围：高明区人民医院所有工作人员工作服、工作人员值班被服、病人衣被（包括传染病病人被服）、手术室布类用品、供应室布类用品、被褥、毛毯、被服包装袋等物品的洗涤和配送。洗涤污垢包括人体污渍、血渍、食物油渍、尿垢、粪便、药渍等各种污渍，洗涤效果达到市级以上卫生防疫部门规定的行业洗涤相关标准。中标服务商负责</w:t>
      </w:r>
      <w:r>
        <w:rPr>
          <w:rFonts w:hint="eastAsia" w:ascii="宋体" w:hAnsi="宋体"/>
          <w:bCs/>
          <w:snapToGrid w:val="0"/>
          <w:color w:val="auto"/>
          <w:kern w:val="0"/>
          <w:szCs w:val="21"/>
        </w:rPr>
        <w:t>每天至少2</w:t>
      </w:r>
      <w:r>
        <w:rPr>
          <w:rFonts w:hint="eastAsia" w:ascii="宋体" w:hAnsi="宋体"/>
          <w:bCs/>
          <w:snapToGrid w:val="0"/>
          <w:color w:val="auto"/>
          <w:kern w:val="0"/>
          <w:szCs w:val="21"/>
          <w:u w:val="single"/>
        </w:rPr>
        <w:t>次</w:t>
      </w:r>
      <w:r>
        <w:rPr>
          <w:rFonts w:hint="eastAsia" w:ascii="宋体" w:hAnsi="宋体"/>
          <w:bCs/>
          <w:snapToGrid w:val="0"/>
          <w:color w:val="auto"/>
          <w:kern w:val="0"/>
          <w:szCs w:val="21"/>
        </w:rPr>
        <w:t>（包含所有节假日）</w:t>
      </w:r>
      <w:r>
        <w:rPr>
          <w:rFonts w:hint="eastAsia" w:ascii="宋体" w:hAnsi="宋体"/>
          <w:snapToGrid w:val="0"/>
          <w:color w:val="auto"/>
          <w:kern w:val="0"/>
          <w:szCs w:val="21"/>
        </w:rPr>
        <w:t>到医院中转处收污衣、送洁衣服务，因特殊情况科室需增加送衣与收衣次数，中标服务商必须积极配合和满足临床需要，每天最多不超过</w:t>
      </w:r>
      <w:r>
        <w:rPr>
          <w:rFonts w:hint="eastAsia" w:ascii="宋体" w:hAnsi="宋体"/>
          <w:b/>
          <w:bCs/>
          <w:snapToGrid w:val="0"/>
          <w:color w:val="auto"/>
          <w:kern w:val="0"/>
          <w:szCs w:val="21"/>
        </w:rPr>
        <w:t>4</w:t>
      </w:r>
      <w:r>
        <w:rPr>
          <w:rFonts w:hint="eastAsia" w:ascii="宋体" w:hAnsi="宋体"/>
          <w:b/>
          <w:bCs/>
          <w:snapToGrid w:val="0"/>
          <w:color w:val="auto"/>
          <w:kern w:val="0"/>
          <w:szCs w:val="21"/>
          <w:u w:val="single"/>
        </w:rPr>
        <w:t>次</w:t>
      </w:r>
      <w:r>
        <w:rPr>
          <w:rFonts w:hint="eastAsia" w:ascii="宋体" w:hAnsi="宋体"/>
          <w:b/>
          <w:bCs/>
          <w:snapToGrid w:val="0"/>
          <w:color w:val="auto"/>
          <w:kern w:val="0"/>
          <w:szCs w:val="21"/>
        </w:rPr>
        <w:t>；</w:t>
      </w:r>
      <w:r>
        <w:rPr>
          <w:rFonts w:hint="eastAsia" w:ascii="宋体" w:hAnsi="宋体"/>
          <w:snapToGrid w:val="0"/>
          <w:color w:val="auto"/>
          <w:kern w:val="0"/>
          <w:szCs w:val="21"/>
        </w:rPr>
        <w:t>收污衣车与送洁衣车应严格分开。</w:t>
      </w:r>
    </w:p>
    <w:p>
      <w:pPr>
        <w:pStyle w:val="110"/>
        <w:numPr>
          <w:ilvl w:val="0"/>
          <w:numId w:val="17"/>
        </w:numPr>
        <w:spacing w:line="460" w:lineRule="exact"/>
        <w:ind w:firstLineChars="0"/>
        <w:rPr>
          <w:rFonts w:ascii="宋体" w:hAnsi="宋体"/>
          <w:snapToGrid w:val="0"/>
          <w:color w:val="auto"/>
          <w:kern w:val="0"/>
          <w:szCs w:val="21"/>
        </w:rPr>
      </w:pPr>
      <w:r>
        <w:rPr>
          <w:rFonts w:hint="eastAsia" w:ascii="宋体" w:hAnsi="宋体"/>
          <w:snapToGrid w:val="0"/>
          <w:color w:val="auto"/>
          <w:kern w:val="0"/>
          <w:szCs w:val="21"/>
        </w:rPr>
        <w:t>中标服务商不得以任何形式转包或分包给第三方。</w:t>
      </w:r>
    </w:p>
    <w:p>
      <w:pPr>
        <w:spacing w:line="460" w:lineRule="exact"/>
        <w:outlineLvl w:val="0"/>
        <w:rPr>
          <w:rFonts w:ascii="宋体" w:hAnsi="宋体"/>
          <w:b/>
          <w:snapToGrid w:val="0"/>
          <w:color w:val="auto"/>
          <w:kern w:val="0"/>
          <w:szCs w:val="21"/>
        </w:rPr>
      </w:pPr>
      <w:bookmarkStart w:id="173" w:name="_Toc116924459"/>
      <w:bookmarkStart w:id="174" w:name="_Toc109467885"/>
      <w:bookmarkStart w:id="175" w:name="_Toc107459966"/>
      <w:bookmarkStart w:id="176" w:name="_Toc107383603"/>
      <w:bookmarkStart w:id="177" w:name="_Toc122420737"/>
      <w:bookmarkStart w:id="178" w:name="_Toc116981003"/>
      <w:bookmarkStart w:id="179" w:name="_Toc116976103"/>
      <w:bookmarkStart w:id="180" w:name="_Toc107385273"/>
      <w:bookmarkStart w:id="181" w:name="_Toc132783720"/>
      <w:r>
        <w:rPr>
          <w:rFonts w:hint="eastAsia" w:ascii="宋体" w:hAnsi="宋体"/>
          <w:b/>
          <w:snapToGrid w:val="0"/>
          <w:color w:val="auto"/>
          <w:kern w:val="0"/>
          <w:szCs w:val="21"/>
        </w:rPr>
        <w:t>三、采购项目</w:t>
      </w:r>
      <w:bookmarkEnd w:id="173"/>
      <w:bookmarkEnd w:id="174"/>
      <w:bookmarkEnd w:id="175"/>
      <w:bookmarkEnd w:id="176"/>
      <w:bookmarkEnd w:id="177"/>
      <w:bookmarkEnd w:id="178"/>
      <w:bookmarkEnd w:id="179"/>
      <w:bookmarkEnd w:id="180"/>
      <w:r>
        <w:rPr>
          <w:rFonts w:hint="eastAsia" w:ascii="宋体" w:hAnsi="宋体"/>
          <w:b/>
          <w:snapToGrid w:val="0"/>
          <w:color w:val="auto"/>
          <w:kern w:val="0"/>
          <w:szCs w:val="21"/>
        </w:rPr>
        <w:t>服务要求</w:t>
      </w:r>
      <w:bookmarkEnd w:id="181"/>
    </w:p>
    <w:p>
      <w:pPr>
        <w:spacing w:line="460" w:lineRule="exact"/>
        <w:rPr>
          <w:rFonts w:ascii="宋体" w:hAnsi="宋体"/>
          <w:snapToGrid w:val="0"/>
          <w:color w:val="auto"/>
          <w:kern w:val="0"/>
          <w:szCs w:val="21"/>
        </w:rPr>
      </w:pPr>
      <w:r>
        <w:rPr>
          <w:rFonts w:hint="eastAsia" w:ascii="宋体" w:hAnsi="宋体"/>
          <w:snapToGrid w:val="0"/>
          <w:color w:val="auto"/>
          <w:kern w:val="0"/>
          <w:szCs w:val="21"/>
        </w:rPr>
        <w:t>1、基本要求</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（1）采购人不负责提供给中标服务商工作人员休息场所，仅提供污染衣和清洁衣的中转场所。</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（2）采购人可不定期到中标服务商的洗涤现场对工作质量进行监督、管理和指导；采购人对中标服务商送来的洁衣物每季度随机抽查，送疾病预防控制中心</w:t>
      </w:r>
      <w:r>
        <w:rPr>
          <w:rFonts w:hint="eastAsia" w:ascii="宋体" w:hAnsi="宋体"/>
          <w:bCs/>
          <w:snapToGrid w:val="0"/>
          <w:color w:val="auto"/>
          <w:kern w:val="0"/>
          <w:szCs w:val="21"/>
        </w:rPr>
        <w:t>或佛山市质量计量监督检测中心</w:t>
      </w:r>
      <w:r>
        <w:rPr>
          <w:rFonts w:hint="eastAsia" w:ascii="宋体" w:hAnsi="宋体"/>
          <w:snapToGrid w:val="0"/>
          <w:color w:val="auto"/>
          <w:kern w:val="0"/>
          <w:szCs w:val="21"/>
        </w:rPr>
        <w:t>检测，检测费用由中标服务商承担，检测报告交由双方备案。采购人如对检测结果有疑问，可由双方共同认可的机构，在双方工作人员在场监督下对衣物进行抽样检测，检测费用直接由中标服务商承担，检测结果证实确有问题，采购人有权对其提出贰万元以内（含）的罚款（在不对采购人造成利益损害的情况下）。若因中标服务商工作质量问题或失误给采购人造成利益损害的，中标服务商应当赔偿由此给采购人造成的损失，采购人有权随时解除合同。</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3）中标服务商必须将病人和医院工作人员的污衣物分开打包，打包污衣袋由中标服务商免费提供，并按行业规定作特殊强化洗涤与消毒处理。采购人的衣物要求使用专用洗衣机，专机专洗，病人和工作人员衣物分开洗，分开烘干，同时不得和其他医院混洗，混烘干，混放等。</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（4）中标服务商负责每天2</w:t>
      </w:r>
      <w:r>
        <w:rPr>
          <w:rFonts w:hint="eastAsia" w:ascii="宋体" w:hAnsi="宋体"/>
          <w:snapToGrid w:val="0"/>
          <w:color w:val="auto"/>
          <w:kern w:val="0"/>
          <w:szCs w:val="21"/>
          <w:u w:val="single"/>
        </w:rPr>
        <w:t>次</w:t>
      </w:r>
      <w:r>
        <w:rPr>
          <w:rFonts w:hint="eastAsia" w:ascii="宋体" w:hAnsi="宋体"/>
          <w:snapToGrid w:val="0"/>
          <w:color w:val="auto"/>
          <w:kern w:val="0"/>
          <w:szCs w:val="21"/>
        </w:rPr>
        <w:t>上午7：30前【和下午2：00前】到达采购方交回前一天收取并清洗干净的被服和收取污被服；因特殊情况科室需增加送衣与收衣次数，每天最多不超过4次，中标服务商必须积极配合和满足临床需要。中标服务商应配备不少于6名工作人员(其中总院院区4人，妇幼院区2 人 ）到临床各科完成上述收污衣、送洁衣服务工作。</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（5）中标服务商负责与采购方相对固定工作人员核对每天的收送数量，并做好交接、签收工作记录。衣物交接与清点方式由双方具体协定。</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（6）中标服务商负责将病人、工作人员、婴儿衣物、手术衣物等需清洁布类的污衣分开打包上车，将洁衣卸车并送入被服房，盛装清洁布类的洁衣袋全部由洗涤公司提供，并保证洁净，不可有破损霉烂。</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 xml:space="preserve"> （7）洗衣单、洗涤服务投诉单等一切单据与办公用品均由中标服务商提供，洗衣单（内容包含出洗时间、出洗数量和品种、双方签名确认等）；洗涤服务投诉单【内容包含投诉时间、科室、投诉问题（服务态度、收送时间、数量不够等）、双方签名确认等】所有单据均一式三联，必须有双方签名确认的单据方有效。 三联存放：各临床科室一联、中标服务商二联、医院总务科三联，每天的洗衣单以原始单据和电子表格每月5号前交医院总务科，便于汇总核对。</w:t>
      </w:r>
    </w:p>
    <w:p>
      <w:pPr>
        <w:numPr>
          <w:ilvl w:val="0"/>
          <w:numId w:val="18"/>
        </w:num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按时、按质、按量完成医院的洗涤</w:t>
      </w:r>
      <w:r>
        <w:rPr>
          <w:rFonts w:hint="eastAsia" w:ascii="仿宋" w:hAnsi="仿宋" w:eastAsia="仿宋" w:cs="仿宋"/>
          <w:snapToGrid w:val="0"/>
          <w:color w:val="auto"/>
          <w:kern w:val="0"/>
          <w:szCs w:val="21"/>
        </w:rPr>
        <w:t>、</w:t>
      </w:r>
      <w:r>
        <w:rPr>
          <w:rFonts w:hint="eastAsia" w:ascii="宋体" w:hAnsi="宋体"/>
          <w:snapToGrid w:val="0"/>
          <w:color w:val="auto"/>
          <w:kern w:val="0"/>
          <w:szCs w:val="21"/>
        </w:rPr>
        <w:t>配送</w:t>
      </w:r>
      <w:r>
        <w:rPr>
          <w:rFonts w:hint="eastAsia" w:ascii="仿宋" w:hAnsi="仿宋" w:eastAsia="仿宋" w:cs="仿宋"/>
          <w:snapToGrid w:val="0"/>
          <w:color w:val="auto"/>
          <w:kern w:val="0"/>
          <w:szCs w:val="21"/>
        </w:rPr>
        <w:t>、</w:t>
      </w:r>
      <w:r>
        <w:rPr>
          <w:rFonts w:hint="eastAsia" w:ascii="宋体" w:hAnsi="宋体"/>
          <w:snapToGrid w:val="0"/>
          <w:color w:val="auto"/>
          <w:kern w:val="0"/>
          <w:szCs w:val="21"/>
        </w:rPr>
        <w:t>收发等工作任务，若因中标服务商的缘故导致衣物洗涤质量达不到正常卫生标准而影响采购人被服使用和供应，应在双方交接时提出并立即退回中标服务商免费返洗，填写返洗单，双方确认签名。次日送洁衣时一并送回并记录。</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9）采购人需要洗涤的衣物，中标服务商除完成洗干净、干燥、叠好、熨平的工作外，还须对有破损或无钮扣的衣物布草给予免费缝补和补钉钮扣等工作，缝线与补钉钮扣等工作由中标服务商完成，采购人不负责采购。</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10）中标服务商每月5号之前向采购人提交上个月的洗涤服务书面与电子月报表，内容包括各科室当月洗涤污衣数量、品种，送回洁衣品种、数量；总回洗数量、品种；总报废数量、品种；采购人各科室投诉内容、次数及处理结果；当月结算金额等。采购人收到月报表后进行核实确认，根据中标人所报折扣率乘以附件衣物洗涤价目表单价为品目单价按实结算。</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11）中标服务商洗涤收送服务的负责人每季度到采购人各科室和管理部门充分听取服务质量及洗涤工作意见，并收集问题登记本（以临床科室负责人签名为依据），对出现的问题限五个工作日内处理和提出整改措施，请相关科室负责人签名确认，并把反馈单报总务科签名，不断改进收送服务和洗涤工作质量等。</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（12）中标服务商的工作人员在收集、分检污衣物时必须对工作服、病人服的衣袋进行检查、清理，发现水笔、证件等物品必须立即通知相关科室。</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（13）合同到期或双方解除合同，应提前一个月知会对方。</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2、服务工作质量要求</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（1）洁净度要求</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1）符合医院布草洗涤行业标准；</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2）洗涤物的过水漂洗要透彻，每台冼衣机按机器说明书要求每次冼涤量不准超过本机的标准冼涤重量，避免因洗涤剂残留而出现泛黄变色或触摸布类表面有黏涩感；</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3）对于沾染污垢或被染色的部位，应做到清洗还原后与布料原色基本保持一致。</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 xml:space="preserve">（2）缝补要求 </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1）医护人员工作服及病人衣服如出现缺失钮或有破损的，应及时规范缝钉；</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2）手术室布类如有破损，应及时缝补，缝补针迹要求均匀、整齐；补钉的纽扣大小、颜色应与原来的纽扣基本一致，不可过大、过小或色差过大；</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（3）洗衣房环境要求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1）内部布局合理，严格区分污染区、半污染区、清洁区，区域划分清楚并有明显的标志，各区间有屏障相隔。</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2）污染区为病人污衣物分检、清点、处理、清洗间；半污染区为医务人员污衣物（口罩、工作服、值班被服）分检、清点、处理及清洗间；清洁区为洗净衣物晾（烘）干、缝补、熨烫、摺叠、储存、发送间。</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洗涤设备要求</w:t>
      </w:r>
    </w:p>
    <w:p>
      <w:pPr>
        <w:spacing w:line="460" w:lineRule="exact"/>
        <w:ind w:firstLine="105" w:firstLineChars="50"/>
        <w:rPr>
          <w:rFonts w:ascii="宋体" w:hAnsi="宋体"/>
          <w:snapToGrid w:val="0"/>
          <w:color w:val="auto"/>
          <w:kern w:val="0"/>
          <w:szCs w:val="21"/>
        </w:rPr>
      </w:pPr>
      <w:r>
        <w:rPr>
          <w:rFonts w:hint="eastAsia" w:ascii="宋体" w:hAnsi="宋体"/>
          <w:snapToGrid w:val="0"/>
          <w:color w:val="auto"/>
          <w:kern w:val="0"/>
          <w:szCs w:val="21"/>
        </w:rPr>
        <w:t>应配备洗衣机数量</w:t>
      </w:r>
      <w:r>
        <w:rPr>
          <w:rFonts w:hint="eastAsia" w:ascii="宋体" w:hAnsi="宋体"/>
          <w:b/>
          <w:bCs/>
          <w:snapToGrid w:val="0"/>
          <w:color w:val="auto"/>
          <w:kern w:val="0"/>
          <w:szCs w:val="21"/>
        </w:rPr>
        <w:t>5台</w:t>
      </w:r>
      <w:r>
        <w:rPr>
          <w:rFonts w:hint="eastAsia" w:ascii="宋体" w:hAnsi="宋体"/>
          <w:snapToGrid w:val="0"/>
          <w:color w:val="auto"/>
          <w:kern w:val="0"/>
          <w:szCs w:val="21"/>
        </w:rPr>
        <w:t>以上，烘干机数量</w:t>
      </w:r>
      <w:r>
        <w:rPr>
          <w:rFonts w:hint="eastAsia" w:ascii="宋体" w:hAnsi="宋体"/>
          <w:b/>
          <w:bCs/>
          <w:snapToGrid w:val="0"/>
          <w:color w:val="auto"/>
          <w:kern w:val="0"/>
          <w:szCs w:val="21"/>
        </w:rPr>
        <w:t>5台</w:t>
      </w:r>
      <w:r>
        <w:rPr>
          <w:rFonts w:hint="eastAsia" w:ascii="宋体" w:hAnsi="宋体"/>
          <w:snapToGrid w:val="0"/>
          <w:color w:val="auto"/>
          <w:kern w:val="0"/>
          <w:szCs w:val="21"/>
        </w:rPr>
        <w:t>以上，保证医务人员、普通病人和传染病人衣物专机专洗。</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衣被的分类和洗涤消毒要求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1）病人衣被和医务人员衣物（口罩、值班被服、工作服）必须分类和专机洗涤，不得混洗；我院衣物不得和其他医院的衣物混合洗。</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2）一般污染衣被：包括医务人员值班被服、办公室洗衣物。其洗涤消毒方法：棉质衣被用1%消毒洗涤剂70℃以上温度（化纤衣被只宜40℃～45℃）在洗衣机内洗25分钟，再用清水漂洗。</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传染性衣被：包括医务人员衣物（口罩、工作服），病人衣被、手术室所有衣物和衣被收集袋。根据受污染的程度分为：无明显污染的传染性衣被、有明显血、脓、便污染的传染性衣被、特殊传染性衣被三类。</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其洗涤消毒方法分别为：</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a）无明显污染的传染性衣被：用含有效氯500mg/L的消毒洗衣粉溶液洗涤30～60分钟，然后用清水漂净。</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b）有明显血、脓、便污染的传染性衣被：在用热水洗涤前，先用冷洗涤液或1%～2%冷碱水将血、脓、便等有机物洗净，将该洗液煮沸消毒弃去，经清水漂洗后，再按第1条洗涤消毒。</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c）特殊传染性衣被：指受特殊病原体污染的衣被，用特殊专用的污衣袋或感染性废物黄色塑料袋包装，有明显标识的衣被。先用1000mg/L含氯消毒剂浸泡消毒一小时，再按第1条洗涤消毒，并指定专人、专机清洗。</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洗衣车间各区域流程的使用及工作要求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1）设洁污人流、物流通道。人流由洁到污，物流由污到洁，顺行通过，不得交叉或逆行。</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2）工作人员严格按工作流程指引，做好防护措施出入各区域，防护用品包括：工作服、口罩、手套、帽子、隔离衣、水鞋或塑胶密封胶鞋等。</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3）各区域工人分工合作，不得在各区域随意走动，严禁由污染区未经更衣换鞋到清洁区，工作人员进入洗净衣物储存，必须洗手、换入室清洁拖鞋。患有化脓性皮肤病工作人员不得参与熨烫、摺叠衣物。</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衣被晾（烘）干、熨烫、摺叠、储存要求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1）对工作人员和病人衣被；一般污染和传染性的衣被洗涤消毒后要分区晾（烘）干、熨烫、摺叠和储存，不得混杂。熨烫时要特别注意曾受或易受污染之处。</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2）儿科衣被应有专用烘干、熨烫、摺叠、储存衣被处，不可与其他衣被混淆。</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（8）洗净衣被质量要求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1）、每年提供由市级以上卫生防疫部门</w:t>
      </w:r>
      <w:r>
        <w:rPr>
          <w:rFonts w:hint="eastAsia" w:ascii="宋体" w:hAnsi="宋体"/>
          <w:bCs/>
          <w:snapToGrid w:val="0"/>
          <w:color w:val="auto"/>
          <w:kern w:val="0"/>
          <w:szCs w:val="21"/>
        </w:rPr>
        <w:t>或佛山市质量计量监督检测中心</w:t>
      </w:r>
      <w:r>
        <w:rPr>
          <w:rFonts w:hint="eastAsia" w:ascii="宋体" w:hAnsi="宋体"/>
          <w:snapToGrid w:val="0"/>
          <w:color w:val="auto"/>
          <w:kern w:val="0"/>
          <w:szCs w:val="21"/>
        </w:rPr>
        <w:t>对洗净衣被消毒效果的监测报告，达到相关标准。</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2）洗净衣被要做到无异味、无臭味、无污渍、无血渍、无破损。</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3）免费对有破损、掉纽扣的衣物进行修补，缝线与补钉钮扣等由中标服务商提供，采购人不负责采购。实在不能修补的,以书面方式提请医院办理衣物报废。</w:t>
      </w:r>
    </w:p>
    <w:p>
      <w:pPr>
        <w:numPr>
          <w:ilvl w:val="0"/>
          <w:numId w:val="20"/>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衣被收集运送要求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1）医务人员污衣被（工作服、值班被服、口罩）与病人污衣被必须分开、分类，清点、收集并分袋独立密封包装，不得混放。</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2）中标服务商的人员</w:t>
      </w:r>
      <w:r>
        <w:rPr>
          <w:rFonts w:hint="eastAsia" w:ascii="华文仿宋" w:hAnsi="华文仿宋" w:eastAsia="华文仿宋" w:cs="华文仿宋"/>
          <w:snapToGrid w:val="0"/>
          <w:color w:val="auto"/>
          <w:kern w:val="0"/>
          <w:sz w:val="24"/>
        </w:rPr>
        <w:t>必须</w:t>
      </w:r>
      <w:r>
        <w:rPr>
          <w:rFonts w:hint="eastAsia" w:ascii="宋体" w:hAnsi="宋体"/>
          <w:snapToGrid w:val="0"/>
          <w:color w:val="auto"/>
          <w:kern w:val="0"/>
          <w:szCs w:val="21"/>
        </w:rPr>
        <w:t>每天按时到医院各科室收、送出洗的衣物，按数量送回，不能丢失衣物。</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3）收污衣物人员须做好个人防护措施，如穿戴防护服、手套、口罩、帽子等，防护用品的费用由中标服务商负责。</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（10）衣被收集运送工具配置要求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运送车辆：须配备2台以上带箱农夫车作运送机动车辆，用于送衣和接衣。车辆在每次运送洁净衣被前必须按照相关标准进行严格的消毒处理，每天先运送洁净衣被后再接运污衣。禁止洁污衣被混合一起运送，违者经查实罚违约金3000元每次。</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2)运送通道：必须按我院规定的洁污专用通道装卸衣被，不得交叉通行。</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收送衣被：衣被收集袋分3种，分别收放有明显污染的病人衣被、一般病人衣被及医护工作人员的工作衣服、帽子和口罩。衣被收集袋应保持密闭直至清洗。所有洗净衣被应按工作人员与病人、一般污染与传染性污染分类，并用不同的塑料箱运送。中标服务商与采购人的衣物交接与清点方式由双方具体协定。</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（11）洗衣房环境卫生、运送工具的清洁消毒要求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1）半污染区、污染区的清洁消毒：上班时打开窗户、保持良好通风，上、下午工作后用含500mg/L有效氯溶液拖地一次后，用紫外线灯照射1小时，并做好相关登记记录。</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2）清洁区的保洁：上班时开窗通风，用清水擦拭桌、椅、工作台面、拖地一次，保持清洁。下班时关闭门窗，减少灰尘和风沙，地面再用清水拖擦一次。</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3）机动车辆每天运送工作结束后，必须用10000mg/L含氯消毒剂进行车内外喷雾至表面湿润，作用60min，并做好相关记录。</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4）洗衣房的污衣被装卸手推车每日用1000mg/L含氯消毒剂擦拭消毒，洁净衣被手推车每日用清水进行擦拭。</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5）清洁卫生用具分区标识，分区使用，不准跨区，用后清洁消毒、洗净挂起晾干。</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6）洗衣房的洗衣池（机）洗衣后应消毒。洗衣房洗后处理区及清洁区应配备空气消毒设施并定期消毒。</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7）对洗后衣物、工作区空气、洗衣机把手、熨烫台、工作人员的手等每月进行监测。</w:t>
      </w:r>
    </w:p>
    <w:p>
      <w:pPr>
        <w:numPr>
          <w:ilvl w:val="0"/>
          <w:numId w:val="21"/>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、洗衣房工作人员要求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1）工作人员上岗前体检，直接从事织物洗涤的工作人员上岗前必须到卫生防疫机构进行一次健康体检、消毒卫生知识和有关卫生标准的培训，取得健康体检合格证明或卫生培训合格证后方可上岗。</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2)患有活动性肺结核、病毒性肝炎、肠道传染病患者及病原携带者，化脓性或慢性渗出性皮肤病等传染病患者不得从事洗衣工作。</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3)工作人员必须严格执行洗衣房工作制度及各种工作流程。</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4)工作前后，特别是处理了污染或具有传染性的衣被后，必须用肥皂流水洗手。</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5)污染区工作人员工作时应戴帽子、口罩、工作服、鞋，并及时更换，不得留长指甲。每日下班后淋浴更衣方可离开。</w:t>
      </w:r>
    </w:p>
    <w:p>
      <w:pPr>
        <w:spacing w:line="460" w:lineRule="exact"/>
        <w:outlineLvl w:val="0"/>
        <w:rPr>
          <w:rFonts w:ascii="宋体" w:hAnsi="宋体"/>
          <w:b/>
          <w:snapToGrid w:val="0"/>
          <w:color w:val="auto"/>
          <w:kern w:val="0"/>
          <w:szCs w:val="21"/>
        </w:rPr>
      </w:pPr>
      <w:bookmarkStart w:id="182" w:name="_Toc132783721"/>
      <w:r>
        <w:rPr>
          <w:rFonts w:hint="eastAsia" w:ascii="宋体" w:hAnsi="宋体"/>
          <w:b/>
          <w:snapToGrid w:val="0"/>
          <w:color w:val="auto"/>
          <w:kern w:val="0"/>
          <w:szCs w:val="21"/>
        </w:rPr>
        <w:t>四、采购项目商务要求</w:t>
      </w:r>
      <w:bookmarkEnd w:id="182"/>
    </w:p>
    <w:p>
      <w:pPr>
        <w:spacing w:line="460" w:lineRule="exact"/>
        <w:rPr>
          <w:rFonts w:ascii="宋体" w:hAnsi="宋体"/>
          <w:snapToGrid w:val="0"/>
          <w:color w:val="auto"/>
          <w:kern w:val="0"/>
          <w:szCs w:val="21"/>
        </w:rPr>
      </w:pPr>
      <w:bookmarkStart w:id="183" w:name="_Toc122420736"/>
      <w:bookmarkStart w:id="184" w:name="_Toc116981002"/>
      <w:bookmarkStart w:id="185" w:name="_Toc99943758"/>
      <w:bookmarkStart w:id="186" w:name="_Toc99868127"/>
      <w:bookmarkStart w:id="187" w:name="_Toc99959607"/>
      <w:bookmarkStart w:id="188" w:name="_Toc95304176"/>
      <w:bookmarkStart w:id="189" w:name="_Toc116976102"/>
      <w:bookmarkStart w:id="190" w:name="_Toc95249562"/>
      <w:bookmarkStart w:id="191" w:name="_Toc68619967"/>
      <w:bookmarkStart w:id="192" w:name="_Toc132783719"/>
      <w:bookmarkStart w:id="193" w:name="_Toc116924458"/>
      <w:r>
        <w:rPr>
          <w:rFonts w:hint="eastAsia" w:ascii="宋体" w:hAnsi="宋体"/>
          <w:snapToGrid w:val="0"/>
          <w:color w:val="auto"/>
          <w:kern w:val="0"/>
          <w:szCs w:val="21"/>
        </w:rPr>
        <w:t>（1）基本要求</w:t>
      </w:r>
    </w:p>
    <w:p>
      <w:pPr>
        <w:tabs>
          <w:tab w:val="left" w:pos="1440"/>
        </w:tabs>
        <w:spacing w:line="460" w:lineRule="exact"/>
        <w:rPr>
          <w:rFonts w:ascii="宋体" w:hAnsi="宋体"/>
          <w:snapToGrid w:val="0"/>
          <w:color w:val="auto"/>
          <w:kern w:val="0"/>
          <w:szCs w:val="21"/>
        </w:rPr>
      </w:pPr>
      <w:r>
        <w:rPr>
          <w:rFonts w:hint="eastAsia" w:ascii="宋体" w:hAnsi="宋体"/>
          <w:snapToGrid w:val="0"/>
          <w:color w:val="auto"/>
          <w:kern w:val="0"/>
          <w:szCs w:val="21"/>
        </w:rPr>
        <w:t>1）投标人须按本次采购项目的技术要求实质性响应采购人方全部需求，并提供经营资格、生产规模、技术能力、环保许可条件等证明文件。</w:t>
      </w:r>
    </w:p>
    <w:p>
      <w:pPr>
        <w:tabs>
          <w:tab w:val="left" w:pos="1440"/>
        </w:tabs>
        <w:spacing w:line="460" w:lineRule="exact"/>
        <w:rPr>
          <w:rFonts w:ascii="宋体" w:hAnsi="宋体"/>
          <w:snapToGrid w:val="0"/>
          <w:color w:val="auto"/>
          <w:kern w:val="0"/>
          <w:szCs w:val="21"/>
        </w:rPr>
      </w:pPr>
      <w:r>
        <w:rPr>
          <w:rFonts w:hint="eastAsia" w:ascii="宋体" w:hAnsi="宋体"/>
          <w:snapToGrid w:val="0"/>
          <w:color w:val="auto"/>
          <w:kern w:val="0"/>
          <w:szCs w:val="21"/>
        </w:rPr>
        <w:t>2)投标人拟采取的管理方式。包括：内部管理架构、机构设置、运作机制、工作流程、信息反馈渠道、质量控制方式、应急预案等。</w:t>
      </w:r>
    </w:p>
    <w:p>
      <w:pPr>
        <w:tabs>
          <w:tab w:val="left" w:pos="1440"/>
        </w:tabs>
        <w:spacing w:line="460" w:lineRule="exact"/>
        <w:rPr>
          <w:rFonts w:ascii="宋体" w:hAnsi="宋体"/>
          <w:snapToGrid w:val="0"/>
          <w:color w:val="auto"/>
          <w:kern w:val="0"/>
          <w:szCs w:val="21"/>
        </w:rPr>
      </w:pPr>
      <w:r>
        <w:rPr>
          <w:rFonts w:hint="eastAsia" w:ascii="宋体" w:hAnsi="宋体"/>
          <w:snapToGrid w:val="0"/>
          <w:color w:val="auto"/>
          <w:kern w:val="0"/>
          <w:szCs w:val="21"/>
        </w:rPr>
        <w:t>3)服务人员配备。包括：主要负责人简历、服务人员数量及配置等。</w:t>
      </w:r>
    </w:p>
    <w:p>
      <w:pPr>
        <w:tabs>
          <w:tab w:val="left" w:pos="1440"/>
        </w:tabs>
        <w:spacing w:line="460" w:lineRule="exact"/>
        <w:rPr>
          <w:rFonts w:ascii="宋体" w:hAnsi="宋体"/>
          <w:snapToGrid w:val="0"/>
          <w:color w:val="auto"/>
          <w:kern w:val="0"/>
          <w:szCs w:val="21"/>
        </w:rPr>
      </w:pPr>
      <w:r>
        <w:rPr>
          <w:rFonts w:hint="eastAsia" w:ascii="宋体" w:hAnsi="宋体"/>
          <w:snapToGrid w:val="0"/>
          <w:color w:val="auto"/>
          <w:kern w:val="0"/>
          <w:szCs w:val="21"/>
        </w:rPr>
        <w:t>4)服务工作必需的物质装备计划情况。</w:t>
      </w:r>
    </w:p>
    <w:p>
      <w:pPr>
        <w:tabs>
          <w:tab w:val="left" w:pos="1440"/>
        </w:tabs>
        <w:spacing w:line="460" w:lineRule="exact"/>
        <w:rPr>
          <w:rFonts w:ascii="宋体" w:hAnsi="宋体"/>
          <w:snapToGrid w:val="0"/>
          <w:color w:val="auto"/>
          <w:kern w:val="0"/>
          <w:szCs w:val="21"/>
        </w:rPr>
      </w:pPr>
      <w:r>
        <w:rPr>
          <w:rFonts w:hint="eastAsia" w:ascii="宋体" w:hAnsi="宋体"/>
          <w:snapToGrid w:val="0"/>
          <w:color w:val="auto"/>
          <w:kern w:val="0"/>
          <w:szCs w:val="21"/>
        </w:rPr>
        <w:t>5)管理规章制度。包括单位内部岗位责任制、衣物洗涤运作制度和服务人员考核制度。</w:t>
      </w:r>
    </w:p>
    <w:p>
      <w:pPr>
        <w:tabs>
          <w:tab w:val="left" w:pos="1440"/>
        </w:tabs>
        <w:spacing w:line="460" w:lineRule="exact"/>
        <w:rPr>
          <w:rFonts w:ascii="宋体" w:hAnsi="宋体"/>
          <w:snapToGrid w:val="0"/>
          <w:color w:val="auto"/>
          <w:kern w:val="0"/>
          <w:szCs w:val="21"/>
        </w:rPr>
      </w:pPr>
      <w:r>
        <w:rPr>
          <w:rFonts w:hint="eastAsia" w:ascii="宋体" w:hAnsi="宋体"/>
          <w:snapToGrid w:val="0"/>
          <w:color w:val="auto"/>
          <w:kern w:val="0"/>
          <w:szCs w:val="21"/>
        </w:rPr>
        <w:t>6)档案的建立与管理。</w:t>
      </w:r>
    </w:p>
    <w:bookmarkEnd w:id="183"/>
    <w:bookmarkEnd w:id="184"/>
    <w:bookmarkEnd w:id="185"/>
    <w:bookmarkEnd w:id="186"/>
    <w:bookmarkEnd w:id="187"/>
    <w:bookmarkEnd w:id="188"/>
    <w:bookmarkEnd w:id="189"/>
    <w:bookmarkEnd w:id="190"/>
    <w:bookmarkEnd w:id="191"/>
    <w:bookmarkEnd w:id="192"/>
    <w:bookmarkEnd w:id="193"/>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2）报价要求：根据中标人所报折扣率乘以附件衣物洗涤价目表单价为品目单价，最终结算价以每月的实际洁衣数量计算洗涤付费（以每天双方签名的洗衣单为计数依据）。投标人报价超出投标文件报价要求的一率按废标处理，年服务总金额原则不得超过人民币202万元，特殊情况特殊处理。投标报价中必须包含医疗衣物被服洗涤、收送服务中所有成本</w:t>
      </w:r>
      <w:r>
        <w:rPr>
          <w:rFonts w:hint="eastAsia" w:ascii="仿宋" w:hAnsi="仿宋" w:eastAsia="仿宋" w:cs="仿宋"/>
          <w:snapToGrid w:val="0"/>
          <w:color w:val="auto"/>
          <w:kern w:val="0"/>
          <w:szCs w:val="21"/>
        </w:rPr>
        <w:t>、</w:t>
      </w:r>
      <w:r>
        <w:rPr>
          <w:rFonts w:hint="eastAsia" w:ascii="宋体" w:hAnsi="宋体"/>
          <w:snapToGrid w:val="0"/>
          <w:color w:val="auto"/>
          <w:kern w:val="0"/>
          <w:szCs w:val="21"/>
        </w:rPr>
        <w:t>收发、运输、洗涤、包装、检验、完税、污衣袋供应和洗涤、供应</w:t>
      </w:r>
      <w:r>
        <w:rPr>
          <w:rFonts w:hint="eastAsia" w:ascii="仿宋" w:hAnsi="仿宋" w:eastAsia="仿宋" w:cs="仿宋"/>
          <w:snapToGrid w:val="0"/>
          <w:color w:val="auto"/>
          <w:kern w:val="0"/>
          <w:szCs w:val="21"/>
        </w:rPr>
        <w:t>、</w:t>
      </w:r>
      <w:r>
        <w:rPr>
          <w:rFonts w:hint="eastAsia" w:ascii="宋体" w:hAnsi="宋体"/>
          <w:snapToGrid w:val="0"/>
          <w:color w:val="auto"/>
          <w:kern w:val="0"/>
          <w:szCs w:val="21"/>
        </w:rPr>
        <w:t>洗涤</w:t>
      </w:r>
      <w:r>
        <w:rPr>
          <w:rFonts w:hint="eastAsia" w:ascii="仿宋" w:hAnsi="仿宋" w:eastAsia="仿宋" w:cs="仿宋"/>
          <w:snapToGrid w:val="0"/>
          <w:color w:val="auto"/>
          <w:kern w:val="0"/>
          <w:szCs w:val="21"/>
        </w:rPr>
        <w:t>、</w:t>
      </w:r>
      <w:r>
        <w:rPr>
          <w:rFonts w:hint="eastAsia" w:ascii="宋体" w:hAnsi="宋体" w:cs="宋体"/>
          <w:snapToGrid w:val="0"/>
          <w:color w:val="auto"/>
          <w:kern w:val="0"/>
          <w:szCs w:val="21"/>
        </w:rPr>
        <w:t>收送等</w:t>
      </w:r>
      <w:r>
        <w:rPr>
          <w:rFonts w:hint="eastAsia" w:ascii="宋体" w:hAnsi="宋体"/>
          <w:snapToGrid w:val="0"/>
          <w:color w:val="auto"/>
          <w:kern w:val="0"/>
          <w:szCs w:val="21"/>
        </w:rPr>
        <w:t>整个过程服务中的人工、运输工具、材料等以及不可预见的一切费用。</w:t>
      </w:r>
    </w:p>
    <w:p>
      <w:pPr>
        <w:spacing w:line="460" w:lineRule="exact"/>
        <w:outlineLvl w:val="0"/>
        <w:rPr>
          <w:rFonts w:ascii="宋体" w:hAnsi="宋体"/>
          <w:b/>
          <w:snapToGrid w:val="0"/>
          <w:color w:val="auto"/>
          <w:kern w:val="0"/>
          <w:szCs w:val="21"/>
        </w:rPr>
      </w:pPr>
      <w:bookmarkStart w:id="194" w:name="_Toc132783723"/>
      <w:r>
        <w:rPr>
          <w:rFonts w:hint="eastAsia" w:ascii="宋体" w:hAnsi="宋体"/>
          <w:b/>
          <w:snapToGrid w:val="0"/>
          <w:color w:val="auto"/>
          <w:kern w:val="0"/>
          <w:szCs w:val="21"/>
        </w:rPr>
        <w:t>五、其它</w:t>
      </w:r>
      <w:bookmarkEnd w:id="194"/>
    </w:p>
    <w:p>
      <w:pPr>
        <w:spacing w:line="460" w:lineRule="exact"/>
        <w:rPr>
          <w:rFonts w:ascii="宋体" w:hAnsi="宋体"/>
          <w:snapToGrid w:val="0"/>
          <w:color w:val="auto"/>
          <w:kern w:val="0"/>
          <w:szCs w:val="21"/>
        </w:rPr>
      </w:pPr>
      <w:r>
        <w:rPr>
          <w:rFonts w:hint="eastAsia" w:ascii="宋体" w:hAnsi="宋体"/>
          <w:snapToGrid w:val="0"/>
          <w:color w:val="auto"/>
          <w:kern w:val="0"/>
          <w:szCs w:val="21"/>
        </w:rPr>
        <w:t>1）投标人提供的洗涤服务的组织机构必须完整，组织机构总人数必须足以满足本项目实际需求。</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2）投标人全部服务人员须符合有关卫生健康标准要求。</w:t>
      </w:r>
    </w:p>
    <w:p>
      <w:pPr>
        <w:tabs>
          <w:tab w:val="left" w:pos="1320"/>
        </w:tabs>
        <w:spacing w:line="460" w:lineRule="exact"/>
        <w:rPr>
          <w:rFonts w:ascii="宋体" w:hAnsi="宋体"/>
          <w:snapToGrid w:val="0"/>
          <w:color w:val="auto"/>
          <w:kern w:val="0"/>
          <w:szCs w:val="21"/>
          <w:highlight w:val="yellow"/>
        </w:rPr>
      </w:pPr>
      <w:r>
        <w:rPr>
          <w:rFonts w:hint="eastAsia" w:ascii="宋体" w:hAnsi="宋体"/>
          <w:snapToGrid w:val="0"/>
          <w:color w:val="auto"/>
          <w:kern w:val="0"/>
          <w:szCs w:val="21"/>
        </w:rPr>
        <w:t>3）投标人服务人员须遵守采购人有关规章制度和管理规定，如有违反或损害采购人利益的，采购人有拒绝投标人违规工作人员在此工作的权利。</w:t>
      </w:r>
    </w:p>
    <w:p>
      <w:pPr>
        <w:tabs>
          <w:tab w:val="left" w:pos="720"/>
        </w:tabs>
        <w:spacing w:line="460" w:lineRule="exact"/>
        <w:outlineLvl w:val="0"/>
        <w:rPr>
          <w:rFonts w:ascii="宋体" w:hAnsi="宋体"/>
          <w:b/>
          <w:bCs/>
          <w:color w:val="auto"/>
          <w:szCs w:val="21"/>
        </w:rPr>
      </w:pPr>
      <w:r>
        <w:rPr>
          <w:rFonts w:hint="eastAsia" w:ascii="宋体" w:hAnsi="宋体"/>
          <w:b/>
          <w:bCs/>
          <w:snapToGrid w:val="0"/>
          <w:color w:val="auto"/>
          <w:kern w:val="0"/>
          <w:szCs w:val="21"/>
        </w:rPr>
        <w:t>六、</w:t>
      </w:r>
      <w:r>
        <w:rPr>
          <w:rFonts w:hint="eastAsia" w:ascii="宋体" w:hAnsi="宋体"/>
          <w:b/>
          <w:bCs/>
          <w:color w:val="auto"/>
          <w:szCs w:val="21"/>
        </w:rPr>
        <w:t>结算方式：</w:t>
      </w:r>
    </w:p>
    <w:p>
      <w:pPr>
        <w:tabs>
          <w:tab w:val="left" w:pos="720"/>
          <w:tab w:val="left" w:pos="5580"/>
        </w:tabs>
        <w:spacing w:line="460" w:lineRule="exact"/>
        <w:ind w:firstLine="420" w:firstLineChars="200"/>
        <w:rPr>
          <w:rFonts w:ascii="宋体" w:hAnsi="宋体"/>
          <w:color w:val="auto"/>
          <w:szCs w:val="21"/>
        </w:rPr>
      </w:pPr>
      <w:r>
        <w:rPr>
          <w:rFonts w:hint="eastAsia" w:ascii="宋体" w:hAnsi="宋体"/>
          <w:color w:val="auto"/>
          <w:szCs w:val="21"/>
        </w:rPr>
        <w:t>采用隔月结算方式结算。每月最后一天，（节假日除外）中标人、用户双方核对一次上月双方确认的</w:t>
      </w:r>
      <w:r>
        <w:rPr>
          <w:rFonts w:hint="eastAsia" w:ascii="宋体" w:hAnsi="宋体"/>
          <w:snapToGrid w:val="0"/>
          <w:color w:val="auto"/>
          <w:kern w:val="0"/>
          <w:szCs w:val="21"/>
        </w:rPr>
        <w:t>洁净洗涤医疗被服清单</w:t>
      </w:r>
      <w:r>
        <w:rPr>
          <w:rFonts w:hint="eastAsia" w:ascii="宋体" w:hAnsi="宋体"/>
          <w:color w:val="auto"/>
          <w:szCs w:val="21"/>
        </w:rPr>
        <w:t>，用户在五个工作日内与中标人核对清楚；中标人根据上月</w:t>
      </w:r>
      <w:r>
        <w:rPr>
          <w:rFonts w:hint="eastAsia" w:ascii="宋体" w:hAnsi="宋体"/>
          <w:snapToGrid w:val="0"/>
          <w:color w:val="auto"/>
          <w:kern w:val="0"/>
          <w:szCs w:val="21"/>
        </w:rPr>
        <w:t>洁净洗涤医疗被服</w:t>
      </w:r>
      <w:r>
        <w:rPr>
          <w:rFonts w:hint="eastAsia" w:ascii="宋体" w:hAnsi="宋体"/>
          <w:color w:val="auto"/>
          <w:szCs w:val="21"/>
        </w:rPr>
        <w:t>清单乘以被服洗涤价格再乘以中标折扣率计算洗涤费用总额，然后按洗涤费用总额的95%开具有效服务发票，采购人在30个工作日内以银行转帐方式结清洗涤费用。余下5%的月服务费余额待年终考核达标后累加核对清楚后一次性结清。</w:t>
      </w:r>
    </w:p>
    <w:p>
      <w:pPr>
        <w:tabs>
          <w:tab w:val="left" w:pos="720"/>
          <w:tab w:val="left" w:pos="5580"/>
        </w:tabs>
        <w:spacing w:line="460" w:lineRule="exact"/>
        <w:ind w:firstLine="422" w:firstLineChars="200"/>
        <w:rPr>
          <w:rFonts w:ascii="宋体" w:hAnsi="宋体"/>
          <w:b/>
          <w:snapToGrid w:val="0"/>
          <w:color w:val="auto"/>
          <w:kern w:val="0"/>
          <w:szCs w:val="21"/>
        </w:rPr>
      </w:pPr>
      <w:r>
        <w:rPr>
          <w:rFonts w:hint="eastAsia" w:ascii="宋体" w:hAnsi="宋体"/>
          <w:b/>
          <w:snapToGrid w:val="0"/>
          <w:color w:val="auto"/>
          <w:kern w:val="0"/>
          <w:szCs w:val="21"/>
        </w:rPr>
        <w:t>附：本项目各品种被服的洗涤标准单价</w:t>
      </w:r>
    </w:p>
    <w:tbl>
      <w:tblPr>
        <w:tblStyle w:val="37"/>
        <w:tblW w:w="9165" w:type="dxa"/>
        <w:tblInd w:w="-93" w:type="dxa"/>
        <w:tblLayout w:type="fixed"/>
        <w:tblCellMar>
          <w:top w:w="0" w:type="dxa"/>
          <w:left w:w="108" w:type="dxa"/>
          <w:bottom w:w="0" w:type="dxa"/>
          <w:right w:w="108" w:type="dxa"/>
        </w:tblCellMar>
      </w:tblPr>
      <w:tblGrid>
        <w:gridCol w:w="2985"/>
        <w:gridCol w:w="1515"/>
        <w:gridCol w:w="3090"/>
        <w:gridCol w:w="1575"/>
      </w:tblGrid>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b/>
                <w:color w:val="auto"/>
                <w:szCs w:val="21"/>
              </w:rPr>
            </w:pPr>
            <w:r>
              <w:rPr>
                <w:rFonts w:hint="eastAsia" w:ascii="宋体" w:hAnsi="宋体"/>
                <w:b/>
                <w:color w:val="auto"/>
                <w:szCs w:val="21"/>
              </w:rPr>
              <w:t>衣物名称</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b/>
                <w:color w:val="auto"/>
                <w:szCs w:val="21"/>
              </w:rPr>
            </w:pPr>
            <w:r>
              <w:rPr>
                <w:rFonts w:hint="eastAsia" w:ascii="宋体" w:hAnsi="宋体"/>
                <w:b/>
                <w:color w:val="auto"/>
                <w:szCs w:val="21"/>
              </w:rPr>
              <w:t>单价(元)</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b/>
                <w:color w:val="auto"/>
                <w:szCs w:val="21"/>
              </w:rPr>
            </w:pPr>
            <w:r>
              <w:rPr>
                <w:rFonts w:hint="eastAsia" w:ascii="宋体" w:hAnsi="宋体"/>
                <w:b/>
                <w:color w:val="auto"/>
                <w:szCs w:val="21"/>
              </w:rPr>
              <w:t>衣物名称</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b/>
                <w:color w:val="auto"/>
                <w:szCs w:val="21"/>
              </w:rPr>
            </w:pPr>
            <w:r>
              <w:rPr>
                <w:rFonts w:hint="eastAsia" w:ascii="宋体" w:hAnsi="宋体"/>
                <w:b/>
                <w:color w:val="auto"/>
                <w:szCs w:val="21"/>
              </w:rPr>
              <w:t>单价(元)</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工作服</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1.32</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隔离衣</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1.32</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工作裤</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手术大单</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工作裙</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1.18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手术长中单</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1.23</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值班被套</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手术特大孔巾</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1.37</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值班床单</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手术大包布</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1.03</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值班床罩</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手术中包布</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0.83</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值班枕套</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手术小包布</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病人被套</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供应室大包布</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病人床单</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供应室中包布</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0.78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病人床罩</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供应室小包布</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蚊帐</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1.18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大孔巾</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病人衫</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1.18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中孔巾</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0.78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病人裤</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1.18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小孔巾</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开边病人裤</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1.18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治疗巾</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0.54</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手术衣</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1.32</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胶单</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洗手衣</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毛毯</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1.37</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洗手裤</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棉胎</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2.94</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中单</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空调被</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2.94</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枕套</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厚床垫</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7.84</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枕芯</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0.59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窗帘</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1.32</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大毛巾</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台布</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中毛巾</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0.59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污衣袋</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长形小毛巾</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0.39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消毒袋</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方形小毛巾</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0.25</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氧气袋</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婴儿衫(外衣)</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0.59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机套</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0.83</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婴儿衫(内衣)</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椅套</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0.83</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小童衫</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0.69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腹带</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0.29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小童裤</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0.69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拉带(绑手带)</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0.29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小被套</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0.78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裤腿</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0.59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小床单</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0.78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大杂件</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0.98</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床罩</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0.78</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小杂件</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护士帽</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0.49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棉夹</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1.27</w:t>
            </w:r>
          </w:p>
        </w:tc>
      </w:tr>
      <w:tr>
        <w:tblPrEx>
          <w:tblLayout w:type="fixed"/>
          <w:tblCellMar>
            <w:top w:w="0" w:type="dxa"/>
            <w:left w:w="108" w:type="dxa"/>
            <w:bottom w:w="0" w:type="dxa"/>
            <w:right w:w="108" w:type="dxa"/>
          </w:tblCellMar>
        </w:tblPrEx>
        <w:trPr>
          <w:trHeight w:val="600" w:hRule="atLeast"/>
        </w:trPr>
        <w:tc>
          <w:tcPr>
            <w:tcW w:w="2985" w:type="dxa"/>
            <w:tcBorders>
              <w:top w:val="single" w:color="000000" w:sz="4" w:space="0"/>
              <w:left w:val="single" w:color="000000" w:sz="4" w:space="0"/>
              <w:bottom w:val="single" w:color="000000" w:sz="4" w:space="0"/>
              <w:right w:val="nil"/>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棉手套(双)</w:t>
            </w:r>
          </w:p>
        </w:tc>
        <w:tc>
          <w:tcPr>
            <w:tcW w:w="1515"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0.29</w:t>
            </w:r>
          </w:p>
        </w:tc>
        <w:tc>
          <w:tcPr>
            <w:tcW w:w="3090" w:type="dxa"/>
            <w:tcBorders>
              <w:top w:val="single" w:color="000000" w:sz="4" w:space="0"/>
              <w:left w:val="single" w:color="000000" w:sz="4" w:space="0"/>
              <w:bottom w:val="single" w:color="000000" w:sz="4" w:space="0"/>
              <w:right w:val="single" w:color="000000" w:sz="4" w:space="0"/>
            </w:tcBorders>
            <w:tcMar>
              <w:top w:w="0" w:type="dxa"/>
              <w:left w:w="15" w:type="dxa"/>
              <w:bottom w:w="0" w:type="dxa"/>
              <w:right w:w="15" w:type="dxa"/>
            </w:tcMar>
            <w:vAlign w:val="center"/>
          </w:tcPr>
          <w:p>
            <w:pPr>
              <w:autoSpaceDN w:val="0"/>
              <w:jc w:val="center"/>
              <w:textAlignment w:val="center"/>
              <w:rPr>
                <w:rFonts w:ascii="宋体" w:hAnsi="宋体"/>
                <w:color w:val="auto"/>
                <w:szCs w:val="21"/>
              </w:rPr>
            </w:pPr>
            <w:r>
              <w:rPr>
                <w:rFonts w:hint="eastAsia" w:ascii="宋体" w:hAnsi="宋体"/>
                <w:color w:val="auto"/>
                <w:szCs w:val="21"/>
              </w:rPr>
              <w:t>大棉衣</w:t>
            </w:r>
          </w:p>
        </w:tc>
        <w:tc>
          <w:tcPr>
            <w:tcW w:w="1575" w:type="dxa"/>
            <w:tcBorders>
              <w:top w:val="single" w:color="000000" w:sz="4" w:space="0"/>
              <w:left w:val="nil"/>
              <w:bottom w:val="single" w:color="000000" w:sz="4" w:space="0"/>
              <w:right w:val="single" w:color="000000" w:sz="4" w:space="0"/>
            </w:tcBorders>
            <w:tcMar>
              <w:top w:w="0" w:type="dxa"/>
              <w:left w:w="15" w:type="dxa"/>
              <w:bottom w:w="0" w:type="dxa"/>
              <w:right w:w="15" w:type="dxa"/>
            </w:tcMar>
            <w:vAlign w:val="center"/>
          </w:tcPr>
          <w:p>
            <w:pPr>
              <w:widowControl/>
              <w:jc w:val="center"/>
              <w:textAlignment w:val="center"/>
              <w:rPr>
                <w:rFonts w:ascii="宋体" w:hAnsi="宋体"/>
                <w:color w:val="auto"/>
                <w:szCs w:val="21"/>
              </w:rPr>
            </w:pPr>
            <w:r>
              <w:rPr>
                <w:rFonts w:hint="eastAsia" w:ascii="宋体" w:hAnsi="宋体" w:cs="宋体"/>
                <w:color w:val="auto"/>
                <w:kern w:val="0"/>
                <w:sz w:val="22"/>
                <w:szCs w:val="22"/>
              </w:rPr>
              <w:t>1.37</w:t>
            </w:r>
          </w:p>
        </w:tc>
      </w:tr>
    </w:tbl>
    <w:p>
      <w:pPr>
        <w:tabs>
          <w:tab w:val="left" w:pos="720"/>
        </w:tabs>
        <w:spacing w:line="360" w:lineRule="auto"/>
        <w:ind w:firstLine="420" w:firstLineChars="200"/>
        <w:rPr>
          <w:rFonts w:ascii="宋体" w:hAnsi="宋体"/>
          <w:snapToGrid w:val="0"/>
          <w:color w:val="auto"/>
          <w:kern w:val="0"/>
          <w:szCs w:val="21"/>
        </w:rPr>
      </w:pPr>
      <w:r>
        <w:rPr>
          <w:rFonts w:hint="eastAsia" w:ascii="宋体" w:hAnsi="宋体"/>
          <w:snapToGrid w:val="0"/>
          <w:color w:val="auto"/>
          <w:kern w:val="0"/>
          <w:szCs w:val="21"/>
        </w:rPr>
        <w:t>1、各投标人在报价时须根据各品种被服洗涤标准单价为基础价格，所报价格以全部品种被服的洗涤标准单价统一下浮率的形式进行报价，投标报价单价下浮率的有效范围：为标准单价的0%至10%范围内，数值精确至小数点后两位且为固定值，同时只允许有一个报价，否则作无效投标处理。</w:t>
      </w:r>
    </w:p>
    <w:p>
      <w:pPr>
        <w:spacing w:line="360" w:lineRule="auto"/>
        <w:ind w:right="-82" w:rightChars="-39" w:firstLine="420" w:firstLineChars="200"/>
        <w:rPr>
          <w:color w:val="auto"/>
          <w:szCs w:val="21"/>
        </w:rPr>
      </w:pPr>
      <w:r>
        <w:rPr>
          <w:rFonts w:hint="eastAsia"/>
          <w:color w:val="auto"/>
          <w:szCs w:val="21"/>
        </w:rPr>
        <w:t>2、投标人须对本项目的服务进行整体报价，任何只对其中一部分内容进行的报价的都被视为无效投标。</w:t>
      </w:r>
    </w:p>
    <w:p>
      <w:pPr>
        <w:spacing w:line="360" w:lineRule="auto"/>
        <w:ind w:right="-82" w:rightChars="-39" w:firstLine="420" w:firstLineChars="200"/>
        <w:rPr>
          <w:color w:val="auto"/>
          <w:szCs w:val="21"/>
        </w:rPr>
      </w:pPr>
      <w:r>
        <w:rPr>
          <w:rFonts w:hint="eastAsia"/>
          <w:color w:val="auto"/>
          <w:szCs w:val="21"/>
        </w:rPr>
        <w:t>3、投标人的中标价为投标报价下浮率，在本项目服务期内，各品种被服的洗涤单价为：各品种被服的洗涤标准单价×〔1－中标价（即投标报价下浮率）〕。</w:t>
      </w:r>
    </w:p>
    <w:p>
      <w:pPr>
        <w:spacing w:line="360" w:lineRule="auto"/>
        <w:rPr>
          <w:color w:val="auto"/>
          <w:szCs w:val="21"/>
        </w:rPr>
      </w:pPr>
    </w:p>
    <w:p>
      <w:pPr>
        <w:rPr>
          <w:color w:val="auto"/>
        </w:rPr>
      </w:pPr>
    </w:p>
    <w:p>
      <w:pPr>
        <w:rPr>
          <w:color w:val="auto"/>
        </w:rPr>
      </w:pPr>
    </w:p>
    <w:p>
      <w:pPr>
        <w:spacing w:line="360" w:lineRule="auto"/>
        <w:rPr>
          <w:color w:val="auto"/>
          <w:szCs w:val="21"/>
        </w:rPr>
      </w:pPr>
    </w:p>
    <w:p>
      <w:pPr>
        <w:rPr>
          <w:color w:val="auto"/>
        </w:rPr>
      </w:pPr>
    </w:p>
    <w:p>
      <w:pPr>
        <w:spacing w:line="400" w:lineRule="exact"/>
        <w:jc w:val="center"/>
        <w:rPr>
          <w:color w:val="auto"/>
          <w:szCs w:val="21"/>
        </w:rPr>
      </w:pPr>
    </w:p>
    <w:p>
      <w:pPr>
        <w:spacing w:line="360" w:lineRule="auto"/>
        <w:rPr>
          <w:color w:val="auto"/>
          <w:szCs w:val="21"/>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3"/>
        <w:spacing w:before="0" w:after="0" w:line="360" w:lineRule="auto"/>
        <w:rPr>
          <w:color w:val="auto"/>
        </w:rPr>
      </w:pPr>
      <w:bookmarkStart w:id="195" w:name="_Toc28108"/>
    </w:p>
    <w:p>
      <w:pPr>
        <w:pStyle w:val="3"/>
        <w:spacing w:before="0" w:after="0" w:line="360" w:lineRule="auto"/>
        <w:rPr>
          <w:color w:val="auto"/>
        </w:rPr>
      </w:pPr>
      <w:r>
        <w:rPr>
          <w:rFonts w:hint="eastAsia"/>
          <w:color w:val="auto"/>
        </w:rPr>
        <w:t>第四章 评审办法</w:t>
      </w:r>
      <w:bookmarkEnd w:id="166"/>
      <w:bookmarkEnd w:id="195"/>
    </w:p>
    <w:p>
      <w:pPr>
        <w:numPr>
          <w:ilvl w:val="0"/>
          <w:numId w:val="22"/>
        </w:numPr>
        <w:tabs>
          <w:tab w:val="left" w:pos="567"/>
          <w:tab w:val="left" w:pos="851"/>
        </w:tabs>
        <w:snapToGrid w:val="0"/>
        <w:spacing w:line="360" w:lineRule="auto"/>
        <w:rPr>
          <w:rFonts w:ascii="宋体" w:hAnsi="宋体" w:cs="宋体"/>
          <w:b/>
          <w:color w:val="auto"/>
          <w:sz w:val="24"/>
          <w:szCs w:val="21"/>
          <w:lang w:eastAsia="zh-TW"/>
        </w:rPr>
      </w:pPr>
      <w:r>
        <w:rPr>
          <w:rFonts w:hint="eastAsia" w:ascii="宋体" w:hAnsi="宋体" w:cs="宋体"/>
          <w:b/>
          <w:color w:val="auto"/>
          <w:sz w:val="24"/>
          <w:szCs w:val="21"/>
        </w:rPr>
        <w:t>磋商小组</w:t>
      </w:r>
    </w:p>
    <w:p>
      <w:pPr>
        <w:numPr>
          <w:ilvl w:val="1"/>
          <w:numId w:val="22"/>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本次磋商按照磋商须知前附表第9项规定依法组建磋商小组（达到竞争性磋商数额的项目磋商小组成员为五人以上单数）。</w:t>
      </w:r>
    </w:p>
    <w:p>
      <w:pPr>
        <w:numPr>
          <w:ilvl w:val="1"/>
          <w:numId w:val="22"/>
        </w:numPr>
        <w:tabs>
          <w:tab w:val="left" w:pos="567"/>
          <w:tab w:val="left" w:pos="851"/>
        </w:tabs>
        <w:snapToGrid w:val="0"/>
        <w:spacing w:line="360" w:lineRule="auto"/>
        <w:ind w:left="567" w:hanging="567"/>
        <w:rPr>
          <w:rFonts w:ascii="宋体" w:hAnsi="宋体"/>
          <w:color w:val="auto"/>
          <w:szCs w:val="21"/>
        </w:rPr>
      </w:pPr>
      <w:r>
        <w:rPr>
          <w:rFonts w:hint="eastAsia" w:ascii="宋体" w:hAnsi="宋体"/>
          <w:color w:val="auto"/>
          <w:szCs w:val="21"/>
        </w:rPr>
        <w:t>磋商小组所有成员集中对响应文件进行审查，与每个供应商分别进行先商务技术条件后价格的磋商，本次磋商采用一轮磋商，两次报价形式进行。磋商小组也可视实际情况确定磋商轮次，并提交评审报告及推荐成交供应商。</w:t>
      </w:r>
    </w:p>
    <w:p>
      <w:pPr>
        <w:numPr>
          <w:ilvl w:val="1"/>
          <w:numId w:val="22"/>
        </w:numPr>
        <w:tabs>
          <w:tab w:val="left" w:pos="567"/>
          <w:tab w:val="left" w:pos="851"/>
        </w:tabs>
        <w:snapToGrid w:val="0"/>
        <w:spacing w:line="360" w:lineRule="auto"/>
        <w:ind w:left="567" w:hanging="567"/>
        <w:rPr>
          <w:rFonts w:ascii="宋体"/>
          <w:b/>
          <w:bCs/>
          <w:color w:val="auto"/>
          <w:szCs w:val="21"/>
        </w:rPr>
      </w:pPr>
      <w:r>
        <w:rPr>
          <w:rFonts w:hint="eastAsia" w:ascii="宋体" w:hAnsi="宋体"/>
          <w:color w:val="auto"/>
          <w:szCs w:val="21"/>
        </w:rPr>
        <w:t>磋商小组名单在磋商结果确定前严格保密。</w:t>
      </w:r>
    </w:p>
    <w:p>
      <w:pPr>
        <w:numPr>
          <w:ilvl w:val="0"/>
          <w:numId w:val="22"/>
        </w:numPr>
        <w:tabs>
          <w:tab w:val="left" w:pos="567"/>
          <w:tab w:val="left" w:pos="851"/>
        </w:tabs>
        <w:snapToGrid w:val="0"/>
        <w:spacing w:line="360" w:lineRule="auto"/>
        <w:rPr>
          <w:rFonts w:ascii="宋体" w:hAnsi="宋体" w:cs="宋体"/>
          <w:b/>
          <w:color w:val="auto"/>
          <w:sz w:val="24"/>
          <w:szCs w:val="21"/>
          <w:lang w:eastAsia="zh-TW"/>
        </w:rPr>
      </w:pPr>
      <w:r>
        <w:rPr>
          <w:rFonts w:hint="eastAsia" w:ascii="宋体" w:hAnsi="宋体" w:cs="宋体"/>
          <w:b/>
          <w:color w:val="auto"/>
          <w:sz w:val="24"/>
          <w:szCs w:val="21"/>
        </w:rPr>
        <w:t>评审方法：综合评分法。</w:t>
      </w:r>
    </w:p>
    <w:p>
      <w:pPr>
        <w:numPr>
          <w:ilvl w:val="0"/>
          <w:numId w:val="22"/>
        </w:numPr>
        <w:tabs>
          <w:tab w:val="left" w:pos="567"/>
          <w:tab w:val="left" w:pos="851"/>
        </w:tabs>
        <w:snapToGrid w:val="0"/>
        <w:spacing w:line="360" w:lineRule="auto"/>
        <w:rPr>
          <w:rFonts w:ascii="宋体" w:hAnsi="宋体" w:cs="宋体"/>
          <w:b/>
          <w:color w:val="auto"/>
          <w:sz w:val="24"/>
          <w:szCs w:val="21"/>
          <w:lang w:eastAsia="zh-TW"/>
        </w:rPr>
      </w:pPr>
      <w:r>
        <w:rPr>
          <w:rFonts w:hint="eastAsia" w:ascii="宋体" w:hAnsi="宋体" w:cs="宋体"/>
          <w:b/>
          <w:color w:val="auto"/>
          <w:sz w:val="24"/>
          <w:szCs w:val="21"/>
        </w:rPr>
        <w:t>评审程序</w:t>
      </w:r>
    </w:p>
    <w:p>
      <w:pPr>
        <w:pStyle w:val="90"/>
        <w:numPr>
          <w:ilvl w:val="0"/>
          <w:numId w:val="23"/>
        </w:numPr>
        <w:tabs>
          <w:tab w:val="left" w:pos="567"/>
          <w:tab w:val="left" w:pos="851"/>
        </w:tabs>
        <w:snapToGrid w:val="0"/>
        <w:spacing w:line="360" w:lineRule="auto"/>
        <w:ind w:firstLineChars="0"/>
        <w:rPr>
          <w:rFonts w:ascii="宋体" w:hAnsi="宋体"/>
          <w:vanish/>
          <w:color w:val="auto"/>
          <w:szCs w:val="21"/>
        </w:rPr>
      </w:pPr>
    </w:p>
    <w:p>
      <w:pPr>
        <w:pStyle w:val="90"/>
        <w:numPr>
          <w:ilvl w:val="0"/>
          <w:numId w:val="23"/>
        </w:numPr>
        <w:tabs>
          <w:tab w:val="left" w:pos="567"/>
          <w:tab w:val="left" w:pos="851"/>
        </w:tabs>
        <w:snapToGrid w:val="0"/>
        <w:spacing w:line="360" w:lineRule="auto"/>
        <w:ind w:firstLineChars="0"/>
        <w:rPr>
          <w:rFonts w:ascii="宋体" w:hAnsi="宋体"/>
          <w:vanish/>
          <w:color w:val="auto"/>
          <w:szCs w:val="21"/>
        </w:rPr>
      </w:pPr>
    </w:p>
    <w:p>
      <w:pPr>
        <w:pStyle w:val="90"/>
        <w:numPr>
          <w:ilvl w:val="0"/>
          <w:numId w:val="23"/>
        </w:numPr>
        <w:tabs>
          <w:tab w:val="left" w:pos="567"/>
          <w:tab w:val="left" w:pos="851"/>
        </w:tabs>
        <w:snapToGrid w:val="0"/>
        <w:spacing w:line="360" w:lineRule="auto"/>
        <w:ind w:firstLineChars="0"/>
        <w:rPr>
          <w:rFonts w:ascii="宋体" w:hAnsi="宋体"/>
          <w:vanish/>
          <w:color w:val="auto"/>
          <w:szCs w:val="21"/>
        </w:rPr>
      </w:pPr>
    </w:p>
    <w:p>
      <w:pPr>
        <w:numPr>
          <w:ilvl w:val="1"/>
          <w:numId w:val="23"/>
        </w:numPr>
        <w:tabs>
          <w:tab w:val="left" w:pos="567"/>
          <w:tab w:val="left" w:pos="851"/>
        </w:tabs>
        <w:snapToGrid w:val="0"/>
        <w:spacing w:line="360" w:lineRule="auto"/>
        <w:rPr>
          <w:rFonts w:ascii="宋体" w:hAnsi="宋体"/>
          <w:b/>
          <w:color w:val="auto"/>
          <w:szCs w:val="21"/>
        </w:rPr>
      </w:pPr>
      <w:r>
        <w:rPr>
          <w:rFonts w:hint="eastAsia" w:ascii="宋体" w:hAnsi="宋体"/>
          <w:b/>
          <w:color w:val="auto"/>
          <w:szCs w:val="21"/>
        </w:rPr>
        <w:t>确定磋商次序</w:t>
      </w:r>
    </w:p>
    <w:p>
      <w:pPr>
        <w:snapToGrid w:val="0"/>
        <w:spacing w:line="360" w:lineRule="auto"/>
        <w:ind w:left="567" w:leftChars="270"/>
        <w:rPr>
          <w:rFonts w:ascii="宋体" w:hAnsi="宋体"/>
          <w:color w:val="auto"/>
          <w:szCs w:val="21"/>
        </w:rPr>
      </w:pPr>
      <w:r>
        <w:rPr>
          <w:rFonts w:hint="eastAsia" w:ascii="宋体" w:hAnsi="宋体"/>
          <w:color w:val="auto"/>
          <w:szCs w:val="21"/>
        </w:rPr>
        <w:t>按照供应商签到的先后顺序作为磋商的先后顺序。</w:t>
      </w:r>
    </w:p>
    <w:p>
      <w:pPr>
        <w:pStyle w:val="90"/>
        <w:numPr>
          <w:ilvl w:val="0"/>
          <w:numId w:val="24"/>
        </w:numPr>
        <w:tabs>
          <w:tab w:val="left" w:pos="851"/>
        </w:tabs>
        <w:snapToGrid w:val="0"/>
        <w:spacing w:line="360" w:lineRule="auto"/>
        <w:ind w:firstLineChars="0"/>
        <w:rPr>
          <w:rFonts w:ascii="宋体" w:hAnsi="宋体"/>
          <w:vanish/>
          <w:color w:val="auto"/>
          <w:szCs w:val="21"/>
        </w:rPr>
      </w:pPr>
    </w:p>
    <w:p>
      <w:pPr>
        <w:pStyle w:val="90"/>
        <w:numPr>
          <w:ilvl w:val="0"/>
          <w:numId w:val="24"/>
        </w:numPr>
        <w:tabs>
          <w:tab w:val="left" w:pos="851"/>
        </w:tabs>
        <w:snapToGrid w:val="0"/>
        <w:spacing w:line="360" w:lineRule="auto"/>
        <w:ind w:firstLineChars="0"/>
        <w:rPr>
          <w:rFonts w:ascii="宋体" w:hAnsi="宋体"/>
          <w:vanish/>
          <w:color w:val="auto"/>
          <w:szCs w:val="21"/>
        </w:rPr>
      </w:pPr>
    </w:p>
    <w:p>
      <w:pPr>
        <w:numPr>
          <w:ilvl w:val="1"/>
          <w:numId w:val="23"/>
        </w:numPr>
        <w:tabs>
          <w:tab w:val="left" w:pos="567"/>
          <w:tab w:val="left" w:pos="851"/>
        </w:tabs>
        <w:snapToGrid w:val="0"/>
        <w:spacing w:line="360" w:lineRule="auto"/>
        <w:ind w:left="567" w:hanging="567"/>
        <w:rPr>
          <w:rFonts w:ascii="宋体" w:hAnsi="宋体"/>
          <w:b/>
          <w:color w:val="auto"/>
          <w:szCs w:val="21"/>
        </w:rPr>
      </w:pPr>
      <w:r>
        <w:rPr>
          <w:rFonts w:hint="eastAsia" w:ascii="宋体" w:hAnsi="宋体"/>
          <w:b/>
          <w:color w:val="auto"/>
          <w:szCs w:val="21"/>
        </w:rPr>
        <w:t>磋商小组确认磋商文件</w:t>
      </w:r>
    </w:p>
    <w:p>
      <w:pPr>
        <w:numPr>
          <w:ilvl w:val="1"/>
          <w:numId w:val="23"/>
        </w:numPr>
        <w:tabs>
          <w:tab w:val="left" w:pos="567"/>
          <w:tab w:val="left" w:pos="851"/>
        </w:tabs>
        <w:snapToGrid w:val="0"/>
        <w:spacing w:line="360" w:lineRule="auto"/>
        <w:ind w:left="567" w:hanging="567"/>
        <w:rPr>
          <w:rFonts w:ascii="宋体" w:hAnsi="宋体"/>
          <w:b/>
          <w:color w:val="auto"/>
          <w:szCs w:val="21"/>
        </w:rPr>
      </w:pPr>
      <w:r>
        <w:rPr>
          <w:rFonts w:hint="eastAsia" w:ascii="宋体" w:hAnsi="宋体"/>
          <w:b/>
          <w:color w:val="auto"/>
          <w:szCs w:val="21"/>
        </w:rPr>
        <w:t>初步评审</w:t>
      </w:r>
    </w:p>
    <w:p>
      <w:pPr>
        <w:pStyle w:val="90"/>
        <w:numPr>
          <w:ilvl w:val="0"/>
          <w:numId w:val="24"/>
        </w:numPr>
        <w:tabs>
          <w:tab w:val="left" w:pos="851"/>
        </w:tabs>
        <w:snapToGrid w:val="0"/>
        <w:spacing w:line="360" w:lineRule="auto"/>
        <w:ind w:firstLineChars="0"/>
        <w:rPr>
          <w:rFonts w:ascii="宋体" w:hAnsi="宋体"/>
          <w:vanish/>
          <w:color w:val="auto"/>
          <w:szCs w:val="21"/>
        </w:rPr>
      </w:pPr>
    </w:p>
    <w:p>
      <w:pPr>
        <w:pStyle w:val="90"/>
        <w:numPr>
          <w:ilvl w:val="0"/>
          <w:numId w:val="24"/>
        </w:numPr>
        <w:tabs>
          <w:tab w:val="left" w:pos="851"/>
        </w:tabs>
        <w:snapToGrid w:val="0"/>
        <w:spacing w:line="360" w:lineRule="auto"/>
        <w:ind w:firstLineChars="0"/>
        <w:rPr>
          <w:rFonts w:ascii="宋体" w:hAnsi="宋体"/>
          <w:vanish/>
          <w:color w:val="auto"/>
          <w:szCs w:val="21"/>
        </w:rPr>
      </w:pPr>
    </w:p>
    <w:p>
      <w:pPr>
        <w:snapToGrid w:val="0"/>
        <w:spacing w:line="360" w:lineRule="auto"/>
        <w:ind w:left="567" w:leftChars="270"/>
        <w:rPr>
          <w:rFonts w:ascii="宋体" w:hAnsi="宋体"/>
          <w:color w:val="auto"/>
          <w:szCs w:val="21"/>
        </w:rPr>
      </w:pPr>
      <w:r>
        <w:rPr>
          <w:rFonts w:hint="eastAsia" w:ascii="宋体" w:hAnsi="宋体"/>
          <w:color w:val="auto"/>
          <w:szCs w:val="21"/>
        </w:rPr>
        <w:t>磋商小组对每个供应商的响应文件进行初步审阅。初步评审是审查响应文件是否对磋商文件作出实质性的响应，评审细则详见“附表一：初步评审表”。对资格性检查不通过的供应商，由磋商小组或采购人代表将集体意见现场及时告知该供应商，其响应文件作无效处理，不参与磋商。</w:t>
      </w:r>
    </w:p>
    <w:p>
      <w:pPr>
        <w:numPr>
          <w:ilvl w:val="1"/>
          <w:numId w:val="23"/>
        </w:numPr>
        <w:tabs>
          <w:tab w:val="left" w:pos="567"/>
          <w:tab w:val="left" w:pos="851"/>
        </w:tabs>
        <w:snapToGrid w:val="0"/>
        <w:spacing w:line="360" w:lineRule="auto"/>
        <w:ind w:left="567" w:hanging="567"/>
        <w:rPr>
          <w:rFonts w:ascii="宋体" w:hAnsi="宋体"/>
          <w:b/>
          <w:color w:val="auto"/>
          <w:szCs w:val="21"/>
        </w:rPr>
      </w:pPr>
      <w:r>
        <w:rPr>
          <w:rFonts w:hint="eastAsia" w:ascii="宋体" w:hAnsi="宋体"/>
          <w:b/>
          <w:color w:val="auto"/>
          <w:szCs w:val="21"/>
        </w:rPr>
        <w:t>磋商</w:t>
      </w:r>
    </w:p>
    <w:p>
      <w:pPr>
        <w:snapToGrid w:val="0"/>
        <w:spacing w:line="360" w:lineRule="auto"/>
        <w:rPr>
          <w:rFonts w:ascii="宋体" w:hAnsi="宋体"/>
          <w:b/>
          <w:color w:val="auto"/>
          <w:szCs w:val="21"/>
        </w:rPr>
      </w:pPr>
      <w:r>
        <w:rPr>
          <w:rFonts w:hint="eastAsia" w:ascii="宋体" w:hAnsi="宋体"/>
          <w:b/>
          <w:color w:val="auto"/>
          <w:szCs w:val="21"/>
        </w:rPr>
        <w:t>3.4.1磋商文件未发生实质性变动的：</w:t>
      </w:r>
    </w:p>
    <w:p>
      <w:pPr>
        <w:snapToGrid w:val="0"/>
        <w:spacing w:line="360" w:lineRule="auto"/>
        <w:ind w:left="567" w:leftChars="270"/>
        <w:rPr>
          <w:rFonts w:ascii="宋体" w:hAnsi="宋体"/>
          <w:color w:val="auto"/>
          <w:szCs w:val="21"/>
        </w:rPr>
      </w:pPr>
      <w:r>
        <w:rPr>
          <w:rFonts w:hint="eastAsia" w:ascii="宋体" w:hAnsi="宋体"/>
          <w:color w:val="auto"/>
          <w:szCs w:val="21"/>
        </w:rPr>
        <w:t>磋商小组集中与每个供应商分别进行磋商，并形成磋商纪要。磋商的内容主要是对响应文件的澄清、修正、补充、确认等。供应商磋商结束后，填写《磋商纪要》，在该文件上注明最后报价及有关承诺。《磋商纪要》是响应文件的有效组成部分。如磋商小组没有对磋商文件作实质性变动增加新的需求，后一轮报价不得高于前一轮报价，否则将按响应无效处理。</w:t>
      </w:r>
    </w:p>
    <w:p>
      <w:pPr>
        <w:snapToGrid w:val="0"/>
        <w:spacing w:line="360" w:lineRule="auto"/>
        <w:rPr>
          <w:rFonts w:ascii="宋体" w:hAnsi="宋体"/>
          <w:b/>
          <w:color w:val="auto"/>
          <w:szCs w:val="21"/>
        </w:rPr>
      </w:pPr>
      <w:r>
        <w:rPr>
          <w:rFonts w:hint="eastAsia" w:ascii="宋体" w:hAnsi="宋体"/>
          <w:b/>
          <w:color w:val="auto"/>
          <w:szCs w:val="21"/>
        </w:rPr>
        <w:t>3.4.2磋商文件发生实质性变动的：</w:t>
      </w:r>
    </w:p>
    <w:p>
      <w:pPr>
        <w:snapToGrid w:val="0"/>
        <w:spacing w:line="360" w:lineRule="auto"/>
        <w:ind w:left="567" w:leftChars="270"/>
        <w:rPr>
          <w:rFonts w:ascii="宋体" w:hAnsi="宋体"/>
          <w:b/>
          <w:color w:val="auto"/>
          <w:szCs w:val="21"/>
        </w:rPr>
      </w:pPr>
      <w:r>
        <w:rPr>
          <w:rFonts w:hint="eastAsia" w:ascii="宋体" w:hAnsi="宋体"/>
          <w:b/>
          <w:color w:val="auto"/>
          <w:szCs w:val="21"/>
        </w:rPr>
        <w:t>（1）书面通知变更内容</w:t>
      </w:r>
    </w:p>
    <w:p>
      <w:pPr>
        <w:snapToGrid w:val="0"/>
        <w:spacing w:line="360" w:lineRule="auto"/>
        <w:ind w:left="567" w:leftChars="270"/>
        <w:rPr>
          <w:rFonts w:ascii="宋体" w:hAnsi="宋体"/>
          <w:color w:val="auto"/>
          <w:szCs w:val="21"/>
        </w:rPr>
      </w:pPr>
      <w:r>
        <w:rPr>
          <w:rFonts w:hint="eastAsia" w:ascii="宋体" w:hAnsi="宋体"/>
          <w:color w:val="auto"/>
          <w:szCs w:val="21"/>
        </w:rPr>
        <w:t>在磋商过程中，磋商小组可以根据磋商文件和磋商情况实质性变动采购需求中的技术、服务要求以及合同草案条款，但不得变动磋商文件中的其他内容。实质性变动的内容，经采购人代表确认后，由磋商小组书面通知所有供应商。对磋商文件作出的实质性变动是磋商文件的有效组成部分。</w:t>
      </w:r>
    </w:p>
    <w:p>
      <w:pPr>
        <w:snapToGrid w:val="0"/>
        <w:spacing w:line="360" w:lineRule="auto"/>
        <w:ind w:left="567" w:leftChars="270"/>
        <w:rPr>
          <w:rFonts w:ascii="宋体" w:hAnsi="宋体"/>
          <w:b/>
          <w:color w:val="auto"/>
          <w:szCs w:val="21"/>
        </w:rPr>
      </w:pPr>
      <w:r>
        <w:rPr>
          <w:rFonts w:hint="eastAsia" w:ascii="宋体" w:hAnsi="宋体"/>
          <w:b/>
          <w:color w:val="auto"/>
          <w:szCs w:val="21"/>
        </w:rPr>
        <w:t>（2）磋商</w:t>
      </w:r>
    </w:p>
    <w:p>
      <w:pPr>
        <w:snapToGrid w:val="0"/>
        <w:spacing w:line="360" w:lineRule="auto"/>
        <w:ind w:left="567" w:leftChars="270"/>
        <w:rPr>
          <w:rFonts w:ascii="宋体" w:hAnsi="宋体"/>
          <w:color w:val="auto"/>
          <w:szCs w:val="21"/>
        </w:rPr>
      </w:pPr>
      <w:r>
        <w:rPr>
          <w:rFonts w:hint="eastAsia" w:ascii="宋体" w:hAnsi="宋体"/>
          <w:color w:val="auto"/>
          <w:szCs w:val="21"/>
        </w:rPr>
        <w:t>磋商小组集中与接受磋商文件变更的每个供应商分别进行磋商，并形成磋商纪要。磋商的内容主要是对响应文件的澄清、修正、补充、确认等。不接受磋商文件变更的供应商，视为自动退出磋商，其响应文件作无效处理。</w:t>
      </w:r>
    </w:p>
    <w:p>
      <w:pPr>
        <w:snapToGrid w:val="0"/>
        <w:spacing w:line="360" w:lineRule="auto"/>
        <w:ind w:left="567" w:leftChars="270"/>
        <w:rPr>
          <w:rFonts w:ascii="宋体" w:hAnsi="宋体"/>
          <w:b/>
          <w:color w:val="auto"/>
          <w:szCs w:val="21"/>
        </w:rPr>
      </w:pPr>
      <w:r>
        <w:rPr>
          <w:rFonts w:hint="eastAsia" w:ascii="宋体" w:hAnsi="宋体"/>
          <w:b/>
          <w:color w:val="auto"/>
          <w:szCs w:val="21"/>
        </w:rPr>
        <w:t>（3）重新提交响应文件（含报价</w:t>
      </w:r>
      <w:r>
        <w:rPr>
          <w:rFonts w:ascii="宋体" w:hAnsi="宋体"/>
          <w:b/>
          <w:color w:val="auto"/>
          <w:szCs w:val="21"/>
        </w:rPr>
        <w:t>）</w:t>
      </w:r>
    </w:p>
    <w:p>
      <w:pPr>
        <w:snapToGrid w:val="0"/>
        <w:spacing w:line="360" w:lineRule="auto"/>
        <w:ind w:left="567" w:leftChars="270"/>
        <w:rPr>
          <w:rFonts w:ascii="宋体" w:hAnsi="宋体"/>
          <w:color w:val="auto"/>
          <w:szCs w:val="21"/>
        </w:rPr>
      </w:pPr>
      <w:r>
        <w:rPr>
          <w:rFonts w:hint="eastAsia" w:ascii="宋体" w:hAnsi="宋体"/>
          <w:color w:val="auto"/>
          <w:szCs w:val="21"/>
        </w:rPr>
        <w:t>供应商应当按照磋商文件的变动情况和磋商小组的要求重新提交响应文件（指磋商结束后，在规定时间内填写《磋商纪要》，在该文件上注明最后报价及有关承诺，并提交）。最终报价时间视磋商进程由磋商小组决定。《磋商纪要》是响应文件的有效组成部分，须由其法定代表人或授权代表签字或者加盖公章。由授权代表签字的，应当附法定代表人授权书。供应商为自然人的，应当由本人签字并附身份证明。</w:t>
      </w:r>
    </w:p>
    <w:p>
      <w:pPr>
        <w:numPr>
          <w:ilvl w:val="1"/>
          <w:numId w:val="23"/>
        </w:numPr>
        <w:tabs>
          <w:tab w:val="left" w:pos="567"/>
          <w:tab w:val="left" w:pos="851"/>
        </w:tabs>
        <w:snapToGrid w:val="0"/>
        <w:spacing w:line="360" w:lineRule="auto"/>
        <w:ind w:left="567" w:hanging="567"/>
        <w:rPr>
          <w:rFonts w:ascii="宋体" w:hAnsi="宋体"/>
          <w:b/>
          <w:color w:val="auto"/>
          <w:szCs w:val="21"/>
        </w:rPr>
      </w:pPr>
      <w:r>
        <w:rPr>
          <w:rFonts w:hint="eastAsia" w:ascii="宋体" w:hAnsi="宋体"/>
          <w:b/>
          <w:color w:val="auto"/>
          <w:szCs w:val="21"/>
        </w:rPr>
        <w:t>公布最终报价</w:t>
      </w:r>
    </w:p>
    <w:p>
      <w:pPr>
        <w:snapToGrid w:val="0"/>
        <w:spacing w:line="360" w:lineRule="auto"/>
        <w:ind w:left="567" w:leftChars="270"/>
        <w:rPr>
          <w:rFonts w:ascii="宋体" w:hAnsi="宋体"/>
          <w:color w:val="auto"/>
          <w:szCs w:val="21"/>
        </w:rPr>
      </w:pPr>
      <w:r>
        <w:rPr>
          <w:rFonts w:hint="eastAsia" w:ascii="宋体" w:hAnsi="宋体"/>
          <w:color w:val="auto"/>
          <w:szCs w:val="21"/>
        </w:rPr>
        <w:t>除非在磋商中磋商小组调整或修改采购需求内容，否则采购人不接受高于前面轮次磋商报价的最终报价。最终报价内容现场公布。</w:t>
      </w:r>
    </w:p>
    <w:p>
      <w:pPr>
        <w:numPr>
          <w:ilvl w:val="1"/>
          <w:numId w:val="23"/>
        </w:numPr>
        <w:tabs>
          <w:tab w:val="left" w:pos="567"/>
          <w:tab w:val="left" w:pos="851"/>
        </w:tabs>
        <w:snapToGrid w:val="0"/>
        <w:spacing w:line="360" w:lineRule="auto"/>
        <w:ind w:left="567" w:hanging="567"/>
        <w:rPr>
          <w:rFonts w:ascii="宋体" w:hAnsi="宋体"/>
          <w:b/>
          <w:color w:val="auto"/>
          <w:szCs w:val="21"/>
        </w:rPr>
      </w:pPr>
      <w:r>
        <w:rPr>
          <w:rFonts w:hint="eastAsia" w:ascii="宋体" w:hAnsi="宋体"/>
          <w:b/>
          <w:color w:val="auto"/>
          <w:szCs w:val="21"/>
        </w:rPr>
        <w:t>最终方案评审</w:t>
      </w:r>
    </w:p>
    <w:p>
      <w:pPr>
        <w:snapToGrid w:val="0"/>
        <w:spacing w:line="360" w:lineRule="auto"/>
        <w:rPr>
          <w:rFonts w:ascii="宋体" w:hAnsi="宋体"/>
          <w:color w:val="auto"/>
          <w:szCs w:val="21"/>
        </w:rPr>
      </w:pPr>
      <w:r>
        <w:rPr>
          <w:rFonts w:hint="eastAsia" w:ascii="宋体" w:hAnsi="宋体"/>
          <w:b/>
          <w:color w:val="auto"/>
          <w:szCs w:val="21"/>
        </w:rPr>
        <w:t>3.6.1</w:t>
      </w:r>
      <w:r>
        <w:rPr>
          <w:rFonts w:hint="eastAsia" w:ascii="宋体" w:hAnsi="宋体"/>
          <w:color w:val="auto"/>
          <w:szCs w:val="21"/>
        </w:rPr>
        <w:t>综合评分法评审步骤</w:t>
      </w:r>
    </w:p>
    <w:p>
      <w:pPr>
        <w:snapToGrid w:val="0"/>
        <w:spacing w:line="360" w:lineRule="auto"/>
        <w:ind w:firstLine="420" w:firstLineChars="200"/>
        <w:rPr>
          <w:rFonts w:ascii="宋体" w:hAnsi="宋体"/>
          <w:color w:val="auto"/>
          <w:szCs w:val="21"/>
        </w:rPr>
      </w:pPr>
      <w:r>
        <w:rPr>
          <w:rFonts w:hint="eastAsia" w:ascii="宋体" w:hAnsi="宋体"/>
          <w:color w:val="auto"/>
          <w:szCs w:val="21"/>
        </w:rPr>
        <w:t>经磋商确定最终采购需求和提交最后报价的供应商后，由磋商小组采用综合评分法对提交最后报价的供应商的响应文件和最后报价进行综合评分。</w:t>
      </w:r>
      <w:r>
        <w:rPr>
          <w:rFonts w:hint="eastAsia" w:ascii="宋体" w:hAnsi="宋体"/>
          <w:b/>
          <w:color w:val="auto"/>
          <w:szCs w:val="21"/>
        </w:rPr>
        <w:t>先进行初步评审中的符合性检查，再进行技术、商务及价格的详细评审。</w:t>
      </w:r>
      <w:r>
        <w:rPr>
          <w:rFonts w:hint="eastAsia" w:ascii="宋体" w:hAnsi="宋体"/>
          <w:color w:val="auto"/>
          <w:szCs w:val="21"/>
        </w:rPr>
        <w:t>只有通过初步评审的供应商才能进入下一步的详细评审。</w:t>
      </w:r>
    </w:p>
    <w:p>
      <w:pPr>
        <w:numPr>
          <w:ilvl w:val="1"/>
          <w:numId w:val="25"/>
        </w:numPr>
        <w:tabs>
          <w:tab w:val="left" w:pos="600"/>
        </w:tabs>
        <w:spacing w:line="360" w:lineRule="auto"/>
        <w:ind w:left="748" w:hanging="28"/>
        <w:rPr>
          <w:rFonts w:ascii="宋体" w:hAnsi="宋体"/>
          <w:color w:val="auto"/>
          <w:szCs w:val="21"/>
        </w:rPr>
      </w:pPr>
      <w:r>
        <w:rPr>
          <w:rFonts w:hint="eastAsia" w:ascii="宋体" w:hAnsi="宋体"/>
          <w:color w:val="auto"/>
          <w:szCs w:val="21"/>
        </w:rPr>
        <w:t>初审表（详见附表一）</w:t>
      </w:r>
    </w:p>
    <w:p>
      <w:pPr>
        <w:numPr>
          <w:ilvl w:val="1"/>
          <w:numId w:val="25"/>
        </w:numPr>
        <w:tabs>
          <w:tab w:val="left" w:pos="600"/>
        </w:tabs>
        <w:spacing w:line="360" w:lineRule="auto"/>
        <w:ind w:left="748" w:hanging="28"/>
        <w:rPr>
          <w:rFonts w:ascii="宋体" w:hAnsi="宋体"/>
          <w:color w:val="auto"/>
          <w:szCs w:val="21"/>
        </w:rPr>
      </w:pPr>
      <w:r>
        <w:rPr>
          <w:rFonts w:hint="eastAsia" w:ascii="宋体" w:hAnsi="宋体"/>
          <w:color w:val="auto"/>
          <w:szCs w:val="21"/>
        </w:rPr>
        <w:t>技术评审表（详见附表二）</w:t>
      </w:r>
    </w:p>
    <w:p>
      <w:pPr>
        <w:numPr>
          <w:ilvl w:val="1"/>
          <w:numId w:val="25"/>
        </w:numPr>
        <w:tabs>
          <w:tab w:val="left" w:pos="600"/>
        </w:tabs>
        <w:spacing w:line="360" w:lineRule="auto"/>
        <w:ind w:left="748" w:hanging="28"/>
        <w:rPr>
          <w:rFonts w:ascii="宋体" w:hAnsi="宋体"/>
          <w:color w:val="auto"/>
          <w:szCs w:val="21"/>
        </w:rPr>
      </w:pPr>
      <w:r>
        <w:rPr>
          <w:rFonts w:hint="eastAsia" w:ascii="宋体" w:hAnsi="宋体"/>
          <w:color w:val="auto"/>
          <w:szCs w:val="21"/>
        </w:rPr>
        <w:t>商务评审表（详见附表三）</w:t>
      </w:r>
    </w:p>
    <w:p>
      <w:pPr>
        <w:numPr>
          <w:ilvl w:val="1"/>
          <w:numId w:val="25"/>
        </w:numPr>
        <w:tabs>
          <w:tab w:val="left" w:pos="600"/>
        </w:tabs>
        <w:spacing w:line="360" w:lineRule="auto"/>
        <w:ind w:left="748" w:hanging="28"/>
        <w:rPr>
          <w:rFonts w:ascii="宋体" w:hAnsi="宋体"/>
          <w:color w:val="auto"/>
          <w:szCs w:val="21"/>
        </w:rPr>
      </w:pPr>
      <w:r>
        <w:rPr>
          <w:rFonts w:hint="eastAsia" w:ascii="宋体" w:hAnsi="宋体"/>
          <w:color w:val="auto"/>
          <w:szCs w:val="21"/>
        </w:rPr>
        <w:t>价格评审（详见附表四）</w:t>
      </w:r>
    </w:p>
    <w:p>
      <w:pPr>
        <w:snapToGrid w:val="0"/>
        <w:spacing w:line="360" w:lineRule="auto"/>
        <w:rPr>
          <w:rFonts w:ascii="宋体" w:hAnsi="宋体"/>
          <w:b/>
          <w:color w:val="auto"/>
          <w:szCs w:val="21"/>
        </w:rPr>
      </w:pPr>
      <w:r>
        <w:rPr>
          <w:rFonts w:hint="eastAsia" w:ascii="宋体" w:hAnsi="宋体"/>
          <w:b/>
          <w:color w:val="auto"/>
          <w:szCs w:val="21"/>
        </w:rPr>
        <w:t>3.6.2比较与评价</w:t>
      </w:r>
    </w:p>
    <w:p>
      <w:pPr>
        <w:snapToGrid w:val="0"/>
        <w:spacing w:line="360" w:lineRule="auto"/>
        <w:ind w:firstLine="420" w:firstLineChars="200"/>
        <w:rPr>
          <w:rFonts w:ascii="宋体" w:hAnsi="宋体"/>
          <w:color w:val="auto"/>
          <w:szCs w:val="21"/>
        </w:rPr>
      </w:pPr>
      <w:r>
        <w:rPr>
          <w:rFonts w:hint="eastAsia" w:ascii="宋体" w:hAnsi="宋体"/>
          <w:color w:val="auto"/>
          <w:szCs w:val="21"/>
        </w:rPr>
        <w:t>磋商小组按磋商文件中规定的评审方法和标准，对资格性审查和符合性审查合格的响应文件进行商务和技术评估，综合比较与评价。技术、商务、价格部分分值分配如下：</w:t>
      </w:r>
    </w:p>
    <w:tbl>
      <w:tblPr>
        <w:tblStyle w:val="37"/>
        <w:tblW w:w="8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1889"/>
        <w:gridCol w:w="1701"/>
        <w:gridCol w:w="1701"/>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cs="宋体"/>
                <w:b/>
                <w:color w:val="auto"/>
                <w:kern w:val="0"/>
                <w:szCs w:val="21"/>
              </w:rPr>
              <w:t>评分项目</w:t>
            </w:r>
          </w:p>
        </w:tc>
        <w:tc>
          <w:tcPr>
            <w:tcW w:w="1889"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cs="宋体"/>
                <w:b/>
                <w:color w:val="auto"/>
                <w:kern w:val="0"/>
                <w:szCs w:val="21"/>
              </w:rPr>
              <w:t>技术评分</w:t>
            </w:r>
          </w:p>
        </w:tc>
        <w:tc>
          <w:tcPr>
            <w:tcW w:w="1701"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cs="宋体"/>
                <w:b/>
                <w:color w:val="auto"/>
                <w:kern w:val="0"/>
                <w:szCs w:val="21"/>
              </w:rPr>
              <w:t>商务评分</w:t>
            </w:r>
          </w:p>
        </w:tc>
        <w:tc>
          <w:tcPr>
            <w:tcW w:w="1701" w:type="dxa"/>
            <w:vAlign w:val="center"/>
          </w:tcPr>
          <w:p>
            <w:pPr>
              <w:autoSpaceDE w:val="0"/>
              <w:autoSpaceDN w:val="0"/>
              <w:adjustRightInd w:val="0"/>
              <w:spacing w:line="360" w:lineRule="auto"/>
              <w:ind w:left="1" w:leftChars="-51" w:hanging="108" w:hangingChars="51"/>
              <w:jc w:val="center"/>
              <w:rPr>
                <w:rFonts w:ascii="宋体" w:hAnsi="宋体" w:cs="宋体"/>
                <w:b/>
                <w:color w:val="auto"/>
                <w:kern w:val="0"/>
                <w:szCs w:val="21"/>
              </w:rPr>
            </w:pPr>
            <w:r>
              <w:rPr>
                <w:rFonts w:hint="eastAsia" w:ascii="宋体" w:hAnsi="宋体" w:cs="宋体"/>
                <w:b/>
                <w:color w:val="auto"/>
                <w:kern w:val="0"/>
                <w:szCs w:val="21"/>
              </w:rPr>
              <w:t>价格评分</w:t>
            </w:r>
          </w:p>
        </w:tc>
        <w:tc>
          <w:tcPr>
            <w:tcW w:w="1609" w:type="dxa"/>
            <w:vAlign w:val="center"/>
          </w:tcPr>
          <w:p>
            <w:pPr>
              <w:spacing w:line="360" w:lineRule="auto"/>
              <w:jc w:val="center"/>
              <w:rPr>
                <w:rFonts w:ascii="宋体" w:hAnsi="宋体"/>
                <w:b/>
                <w:color w:val="auto"/>
                <w:szCs w:val="21"/>
              </w:rPr>
            </w:pPr>
            <w:r>
              <w:rPr>
                <w:rFonts w:hint="eastAsia" w:ascii="宋体" w:hAnsi="宋体"/>
                <w:b/>
                <w:color w:val="auto"/>
                <w:szCs w:val="21"/>
              </w:rPr>
              <w:t>合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cs="宋体"/>
                <w:b/>
                <w:color w:val="auto"/>
                <w:kern w:val="0"/>
                <w:szCs w:val="21"/>
              </w:rPr>
              <w:t>权重</w:t>
            </w:r>
          </w:p>
        </w:tc>
        <w:tc>
          <w:tcPr>
            <w:tcW w:w="1889"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b/>
                <w:color w:val="auto"/>
                <w:szCs w:val="21"/>
              </w:rPr>
              <w:t>40%</w:t>
            </w:r>
          </w:p>
        </w:tc>
        <w:tc>
          <w:tcPr>
            <w:tcW w:w="1701"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b/>
                <w:color w:val="auto"/>
                <w:szCs w:val="21"/>
              </w:rPr>
              <w:t>40%</w:t>
            </w:r>
          </w:p>
        </w:tc>
        <w:tc>
          <w:tcPr>
            <w:tcW w:w="1701" w:type="dxa"/>
            <w:vAlign w:val="center"/>
          </w:tcPr>
          <w:p>
            <w:pPr>
              <w:autoSpaceDE w:val="0"/>
              <w:autoSpaceDN w:val="0"/>
              <w:adjustRightInd w:val="0"/>
              <w:spacing w:line="360" w:lineRule="auto"/>
              <w:ind w:left="1" w:leftChars="-51" w:hanging="108" w:hangingChars="51"/>
              <w:jc w:val="center"/>
              <w:rPr>
                <w:rFonts w:ascii="宋体" w:hAnsi="宋体" w:cs="宋体"/>
                <w:b/>
                <w:color w:val="auto"/>
                <w:kern w:val="0"/>
                <w:szCs w:val="21"/>
              </w:rPr>
            </w:pPr>
            <w:r>
              <w:rPr>
                <w:rFonts w:hint="eastAsia" w:ascii="宋体" w:hAnsi="宋体"/>
                <w:b/>
                <w:color w:val="auto"/>
                <w:szCs w:val="21"/>
              </w:rPr>
              <w:t>20%</w:t>
            </w:r>
          </w:p>
        </w:tc>
        <w:tc>
          <w:tcPr>
            <w:tcW w:w="1609" w:type="dxa"/>
            <w:vAlign w:val="center"/>
          </w:tcPr>
          <w:p>
            <w:pPr>
              <w:spacing w:line="360" w:lineRule="auto"/>
              <w:jc w:val="center"/>
              <w:rPr>
                <w:rFonts w:ascii="宋体" w:hAnsi="宋体"/>
                <w:b/>
                <w:color w:val="auto"/>
                <w:szCs w:val="21"/>
              </w:rPr>
            </w:pPr>
            <w:r>
              <w:rPr>
                <w:rFonts w:hint="eastAsia" w:ascii="宋体" w:hAnsi="宋体"/>
                <w:b/>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cs="宋体"/>
                <w:b/>
                <w:color w:val="auto"/>
                <w:kern w:val="0"/>
                <w:szCs w:val="21"/>
              </w:rPr>
              <w:t>分值</w:t>
            </w:r>
          </w:p>
        </w:tc>
        <w:tc>
          <w:tcPr>
            <w:tcW w:w="1889"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cs="宋体"/>
                <w:b/>
                <w:color w:val="auto"/>
                <w:kern w:val="0"/>
                <w:szCs w:val="21"/>
              </w:rPr>
              <w:t>40分</w:t>
            </w:r>
          </w:p>
        </w:tc>
        <w:tc>
          <w:tcPr>
            <w:tcW w:w="1701" w:type="dxa"/>
            <w:vAlign w:val="center"/>
          </w:tcPr>
          <w:p>
            <w:pPr>
              <w:autoSpaceDE w:val="0"/>
              <w:autoSpaceDN w:val="0"/>
              <w:adjustRightInd w:val="0"/>
              <w:spacing w:line="360" w:lineRule="auto"/>
              <w:jc w:val="center"/>
              <w:rPr>
                <w:rFonts w:ascii="宋体" w:hAnsi="宋体" w:cs="宋体"/>
                <w:b/>
                <w:color w:val="auto"/>
                <w:kern w:val="0"/>
                <w:szCs w:val="21"/>
              </w:rPr>
            </w:pPr>
            <w:r>
              <w:rPr>
                <w:rFonts w:hint="eastAsia" w:ascii="宋体" w:hAnsi="宋体" w:cs="宋体"/>
                <w:b/>
                <w:color w:val="auto"/>
                <w:kern w:val="0"/>
                <w:szCs w:val="21"/>
              </w:rPr>
              <w:t>40分</w:t>
            </w:r>
          </w:p>
        </w:tc>
        <w:tc>
          <w:tcPr>
            <w:tcW w:w="1701" w:type="dxa"/>
            <w:vAlign w:val="center"/>
          </w:tcPr>
          <w:p>
            <w:pPr>
              <w:autoSpaceDE w:val="0"/>
              <w:autoSpaceDN w:val="0"/>
              <w:adjustRightInd w:val="0"/>
              <w:spacing w:line="360" w:lineRule="auto"/>
              <w:ind w:left="1" w:leftChars="-51" w:hanging="108" w:hangingChars="51"/>
              <w:jc w:val="center"/>
              <w:rPr>
                <w:rFonts w:ascii="宋体" w:hAnsi="宋体" w:cs="宋体"/>
                <w:b/>
                <w:color w:val="auto"/>
                <w:kern w:val="0"/>
                <w:szCs w:val="21"/>
              </w:rPr>
            </w:pPr>
            <w:r>
              <w:rPr>
                <w:rFonts w:hint="eastAsia" w:ascii="宋体" w:hAnsi="宋体" w:cs="宋体"/>
                <w:b/>
                <w:color w:val="auto"/>
                <w:kern w:val="0"/>
                <w:szCs w:val="21"/>
              </w:rPr>
              <w:t>20分</w:t>
            </w:r>
          </w:p>
        </w:tc>
        <w:tc>
          <w:tcPr>
            <w:tcW w:w="1609" w:type="dxa"/>
            <w:vAlign w:val="center"/>
          </w:tcPr>
          <w:p>
            <w:pPr>
              <w:spacing w:line="360" w:lineRule="auto"/>
              <w:jc w:val="center"/>
              <w:rPr>
                <w:rFonts w:ascii="宋体" w:hAnsi="宋体" w:cs="宋体"/>
                <w:b/>
                <w:color w:val="auto"/>
                <w:kern w:val="0"/>
                <w:szCs w:val="21"/>
              </w:rPr>
            </w:pPr>
            <w:r>
              <w:rPr>
                <w:rFonts w:hint="eastAsia" w:ascii="宋体" w:hAnsi="宋体" w:cs="宋体"/>
                <w:b/>
                <w:color w:val="auto"/>
                <w:kern w:val="0"/>
                <w:szCs w:val="21"/>
              </w:rPr>
              <w:t>100分</w:t>
            </w:r>
          </w:p>
        </w:tc>
      </w:tr>
    </w:tbl>
    <w:p>
      <w:pPr>
        <w:snapToGrid w:val="0"/>
        <w:spacing w:line="360" w:lineRule="auto"/>
        <w:ind w:firstLine="420" w:firstLineChars="200"/>
        <w:rPr>
          <w:rFonts w:ascii="宋体" w:hAnsi="宋体"/>
          <w:color w:val="auto"/>
          <w:szCs w:val="21"/>
        </w:rPr>
      </w:pPr>
      <w:r>
        <w:rPr>
          <w:rFonts w:hint="eastAsia" w:ascii="宋体" w:hAnsi="宋体"/>
          <w:color w:val="auto"/>
          <w:szCs w:val="21"/>
        </w:rPr>
        <w:t>具体量化打分标准如下：</w:t>
      </w:r>
    </w:p>
    <w:p>
      <w:pPr>
        <w:snapToGrid w:val="0"/>
        <w:spacing w:line="360" w:lineRule="auto"/>
        <w:rPr>
          <w:rFonts w:ascii="宋体" w:hAnsi="宋体"/>
          <w:b/>
          <w:color w:val="auto"/>
          <w:szCs w:val="21"/>
        </w:rPr>
      </w:pPr>
      <w:r>
        <w:rPr>
          <w:rFonts w:hint="eastAsia" w:ascii="宋体" w:hAnsi="宋体"/>
          <w:b/>
          <w:color w:val="auto"/>
          <w:szCs w:val="21"/>
        </w:rPr>
        <w:t>（1）技术、商务评分</w:t>
      </w:r>
    </w:p>
    <w:p>
      <w:pPr>
        <w:snapToGrid w:val="0"/>
        <w:spacing w:line="360" w:lineRule="auto"/>
        <w:ind w:firstLine="420" w:firstLineChars="200"/>
        <w:rPr>
          <w:rFonts w:ascii="宋体" w:hAnsi="宋体"/>
          <w:color w:val="auto"/>
          <w:szCs w:val="21"/>
        </w:rPr>
      </w:pPr>
      <w:r>
        <w:rPr>
          <w:rFonts w:hint="eastAsia" w:ascii="宋体" w:hAnsi="宋体"/>
          <w:color w:val="auto"/>
          <w:szCs w:val="21"/>
        </w:rPr>
        <w:t>磋商小组分别对各供应商的技术、商务响应文件中的各项内容进行评议比较，详细对比其技术、商务方案等各种因素方面是否满足磋商文件的要求。在技术、商务评审表的相应项各自记名打分。</w:t>
      </w:r>
    </w:p>
    <w:p>
      <w:pPr>
        <w:snapToGrid w:val="0"/>
        <w:spacing w:line="360" w:lineRule="auto"/>
        <w:rPr>
          <w:rFonts w:ascii="宋体" w:hAnsi="宋体"/>
          <w:b/>
          <w:color w:val="auto"/>
          <w:szCs w:val="21"/>
        </w:rPr>
      </w:pPr>
      <w:r>
        <w:rPr>
          <w:rFonts w:hint="eastAsia" w:ascii="宋体" w:hAnsi="宋体"/>
          <w:b/>
          <w:color w:val="auto"/>
          <w:szCs w:val="21"/>
        </w:rPr>
        <w:t>（2）技术商务得分统计</w:t>
      </w:r>
    </w:p>
    <w:p>
      <w:pPr>
        <w:spacing w:line="360" w:lineRule="auto"/>
        <w:ind w:firstLine="420" w:firstLineChars="200"/>
        <w:rPr>
          <w:rFonts w:ascii="宋体" w:hAnsi="宋体"/>
          <w:color w:val="auto"/>
          <w:szCs w:val="21"/>
        </w:rPr>
      </w:pPr>
      <w:r>
        <w:rPr>
          <w:rFonts w:hint="eastAsia" w:ascii="宋体" w:hAnsi="宋体"/>
          <w:color w:val="auto"/>
          <w:szCs w:val="21"/>
        </w:rPr>
        <w:t>将所有磋商小组的技术评分的算术平均值即为每个有效供应商的技术得分（四舍五入后，精确到0.01）。</w:t>
      </w:r>
    </w:p>
    <w:p>
      <w:pPr>
        <w:spacing w:line="360" w:lineRule="auto"/>
        <w:ind w:firstLine="420" w:firstLineChars="200"/>
        <w:rPr>
          <w:rFonts w:ascii="宋体" w:hAnsi="宋体"/>
          <w:color w:val="auto"/>
          <w:szCs w:val="21"/>
        </w:rPr>
      </w:pPr>
      <w:r>
        <w:rPr>
          <w:rFonts w:hint="eastAsia" w:ascii="宋体" w:hAnsi="宋体"/>
          <w:color w:val="auto"/>
          <w:szCs w:val="21"/>
        </w:rPr>
        <w:t>将所有磋商小组的商务评分的算术平均值即为每个有效供应商的商务得分（四舍五入后，精确到0.01）。</w:t>
      </w:r>
    </w:p>
    <w:p>
      <w:pPr>
        <w:spacing w:line="360" w:lineRule="auto"/>
        <w:ind w:firstLine="420" w:firstLineChars="200"/>
        <w:rPr>
          <w:rFonts w:ascii="宋体" w:hAnsi="宋体"/>
          <w:color w:val="auto"/>
          <w:szCs w:val="21"/>
        </w:rPr>
      </w:pPr>
      <w:r>
        <w:rPr>
          <w:rFonts w:hint="eastAsia" w:ascii="宋体" w:hAnsi="宋体"/>
          <w:color w:val="auto"/>
          <w:szCs w:val="21"/>
        </w:rPr>
        <w:t>将技术得分、商务得分相加得出商务技术得分。</w:t>
      </w:r>
    </w:p>
    <w:p>
      <w:pPr>
        <w:spacing w:line="360" w:lineRule="auto"/>
        <w:rPr>
          <w:rFonts w:ascii="宋体" w:hAnsi="宋体"/>
          <w:color w:val="auto"/>
          <w:szCs w:val="21"/>
        </w:rPr>
      </w:pPr>
      <w:r>
        <w:rPr>
          <w:rFonts w:hint="eastAsia" w:ascii="宋体" w:hAnsi="宋体"/>
          <w:b/>
          <w:color w:val="auto"/>
          <w:szCs w:val="21"/>
        </w:rPr>
        <w:t>（3）价格核准和评分</w:t>
      </w:r>
    </w:p>
    <w:p>
      <w:pPr>
        <w:pStyle w:val="90"/>
        <w:numPr>
          <w:ilvl w:val="0"/>
          <w:numId w:val="26"/>
        </w:numPr>
        <w:snapToGrid w:val="0"/>
        <w:spacing w:line="360" w:lineRule="auto"/>
        <w:ind w:firstLineChars="0"/>
        <w:rPr>
          <w:rFonts w:ascii="宋体" w:hAnsi="宋体"/>
          <w:b/>
          <w:color w:val="auto"/>
          <w:szCs w:val="21"/>
        </w:rPr>
      </w:pPr>
      <w:r>
        <w:rPr>
          <w:rFonts w:hint="eastAsia" w:ascii="宋体" w:hAnsi="宋体"/>
          <w:b/>
          <w:color w:val="auto"/>
          <w:szCs w:val="21"/>
        </w:rPr>
        <w:t>价格的核准</w:t>
      </w:r>
    </w:p>
    <w:p>
      <w:pPr>
        <w:spacing w:line="360" w:lineRule="auto"/>
        <w:ind w:firstLine="412" w:firstLineChars="196"/>
        <w:rPr>
          <w:rFonts w:ascii="宋体" w:hAnsi="宋体"/>
          <w:color w:val="auto"/>
          <w:szCs w:val="21"/>
        </w:rPr>
      </w:pPr>
      <w:r>
        <w:rPr>
          <w:rFonts w:hint="eastAsia" w:ascii="宋体" w:hAnsi="宋体"/>
          <w:color w:val="auto"/>
          <w:szCs w:val="21"/>
        </w:rPr>
        <w:t>评标委员会认为供应商的报价明显低于其他通过符合性审查供应商的报价，有可能影响产品质量或者不能诚信履约的，将要求其在评标现场在评委规定的时间内提供书面说明，必要时提交相关证明材料；供应商不能证明其报价合理性的，评标委员会将其作为无效投标处理。</w:t>
      </w:r>
    </w:p>
    <w:p>
      <w:pPr>
        <w:snapToGrid w:val="0"/>
        <w:spacing w:line="360" w:lineRule="auto"/>
        <w:ind w:firstLine="412" w:firstLineChars="196"/>
        <w:rPr>
          <w:rFonts w:ascii="宋体" w:hAnsi="宋体"/>
          <w:color w:val="auto"/>
          <w:szCs w:val="21"/>
        </w:rPr>
      </w:pPr>
      <w:r>
        <w:rPr>
          <w:rFonts w:hint="eastAsia" w:ascii="宋体" w:hAnsi="宋体"/>
          <w:color w:val="auto"/>
          <w:szCs w:val="21"/>
        </w:rPr>
        <w:t>磋商小组先对入围供应商的最后报价进行复核，审查其是否有计算上的错误，修正错误的原则如下</w:t>
      </w:r>
    </w:p>
    <w:p>
      <w:pPr>
        <w:snapToGrid w:val="0"/>
        <w:spacing w:line="360" w:lineRule="auto"/>
        <w:ind w:firstLine="420" w:firstLineChars="200"/>
        <w:rPr>
          <w:rFonts w:ascii="宋体" w:hAnsi="宋体"/>
          <w:color w:val="auto"/>
          <w:szCs w:val="21"/>
        </w:rPr>
      </w:pPr>
      <w:r>
        <w:rPr>
          <w:rFonts w:hint="eastAsia" w:ascii="宋体" w:hAnsi="宋体"/>
          <w:color w:val="auto"/>
          <w:szCs w:val="21"/>
        </w:rPr>
        <w:t>响应文件的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pPr>
        <w:snapToGrid w:val="0"/>
        <w:spacing w:line="360" w:lineRule="auto"/>
        <w:ind w:firstLine="420" w:firstLineChars="200"/>
        <w:rPr>
          <w:rFonts w:ascii="宋体" w:hAnsi="宋体"/>
          <w:color w:val="auto"/>
          <w:szCs w:val="21"/>
        </w:rPr>
      </w:pPr>
      <w:r>
        <w:rPr>
          <w:rFonts w:hint="eastAsia" w:ascii="宋体" w:hAnsi="宋体"/>
          <w:color w:val="auto"/>
          <w:szCs w:val="21"/>
        </w:rPr>
        <w:t>按上述修正错误的方法调整后的最后报价，对供应商具有约束力。如果供应商不接受修正后的价格，则其响应文件作无效处理。</w:t>
      </w:r>
    </w:p>
    <w:p>
      <w:pPr>
        <w:pStyle w:val="90"/>
        <w:numPr>
          <w:ilvl w:val="0"/>
          <w:numId w:val="26"/>
        </w:numPr>
        <w:snapToGrid w:val="0"/>
        <w:spacing w:line="360" w:lineRule="auto"/>
        <w:ind w:firstLineChars="0"/>
        <w:rPr>
          <w:rFonts w:ascii="宋体" w:hAnsi="宋体"/>
          <w:b/>
          <w:color w:val="auto"/>
          <w:szCs w:val="21"/>
        </w:rPr>
      </w:pPr>
      <w:r>
        <w:rPr>
          <w:rFonts w:hint="eastAsia" w:ascii="宋体" w:hAnsi="宋体"/>
          <w:b/>
          <w:color w:val="auto"/>
          <w:szCs w:val="21"/>
        </w:rPr>
        <w:t>小型和微型企业产品价格扣除条款</w:t>
      </w:r>
    </w:p>
    <w:p>
      <w:pPr>
        <w:pStyle w:val="90"/>
        <w:snapToGrid w:val="0"/>
        <w:spacing w:line="360" w:lineRule="auto"/>
        <w:ind w:left="105" w:leftChars="50"/>
        <w:rPr>
          <w:rFonts w:ascii="宋体" w:hAnsi="宋体"/>
          <w:color w:val="auto"/>
          <w:szCs w:val="21"/>
        </w:rPr>
      </w:pPr>
      <w:r>
        <w:rPr>
          <w:rFonts w:hint="eastAsia" w:ascii="宋体" w:hAnsi="宋体"/>
          <w:color w:val="auto"/>
          <w:szCs w:val="21"/>
        </w:rPr>
        <w:t>供应商为小型或微型企业（包括成员均为小型或微型企业的联合体）且报价产品/服务含小型或微型企业产品/服务时，报价给予K1的价格扣除（K1的取值为6%），即：评审价＝核实价-小微企业产品核实价×K1 ；</w:t>
      </w:r>
    </w:p>
    <w:p>
      <w:pPr>
        <w:pStyle w:val="90"/>
        <w:snapToGrid w:val="0"/>
        <w:spacing w:line="360" w:lineRule="auto"/>
        <w:ind w:left="105" w:leftChars="50"/>
        <w:rPr>
          <w:rFonts w:ascii="宋体" w:hAnsi="宋体"/>
          <w:color w:val="auto"/>
          <w:szCs w:val="21"/>
        </w:rPr>
      </w:pPr>
      <w:r>
        <w:rPr>
          <w:rFonts w:hint="eastAsia" w:ascii="宋体" w:hAnsi="宋体"/>
          <w:color w:val="auto"/>
          <w:szCs w:val="21"/>
        </w:rPr>
        <w:t>供应商为大中型企业和其他自然人、法人或者其他组织与小型、微型企业组成的联合体，且联合体协议中约定小型、微型企业的协议合同金额（必须为本企业承担的服务）占到联合体协议合同总金额30%以上的，对联合体报价给予K2的价格扣除（K2的取值为2%），即：评审价＝核实价-小微企业产品核实价×K2；</w:t>
      </w:r>
    </w:p>
    <w:p>
      <w:pPr>
        <w:pStyle w:val="90"/>
        <w:snapToGrid w:val="0"/>
        <w:spacing w:line="360" w:lineRule="auto"/>
        <w:ind w:left="105" w:leftChars="50"/>
        <w:rPr>
          <w:rFonts w:ascii="宋体" w:hAnsi="宋体"/>
          <w:color w:val="auto"/>
          <w:szCs w:val="21"/>
        </w:rPr>
      </w:pPr>
      <w:r>
        <w:rPr>
          <w:rFonts w:hint="eastAsia" w:ascii="宋体" w:hAnsi="宋体"/>
          <w:color w:val="auto"/>
          <w:szCs w:val="21"/>
        </w:rPr>
        <w:t>本条款所称小型或微型企业应当符合以下条件：符合《工业和信息化部、国家统计局、国家发展和改革委员会、财政部关于印发中小企业划型标准规定的通知》（工信部联企业[2011]300号）规定的对小型或微型企业的划分标准，并且提供本企业承担的服务；</w:t>
      </w:r>
    </w:p>
    <w:p>
      <w:pPr>
        <w:pStyle w:val="90"/>
        <w:snapToGrid w:val="0"/>
        <w:spacing w:line="360" w:lineRule="auto"/>
        <w:ind w:left="105" w:leftChars="50"/>
        <w:rPr>
          <w:rFonts w:ascii="宋体" w:hAnsi="宋体"/>
          <w:color w:val="auto"/>
          <w:szCs w:val="21"/>
        </w:rPr>
      </w:pPr>
      <w:r>
        <w:rPr>
          <w:rFonts w:hint="eastAsia" w:ascii="宋体" w:hAnsi="宋体"/>
          <w:color w:val="auto"/>
          <w:szCs w:val="21"/>
        </w:rPr>
        <w:t>组成联合体的大中型企业和其他自然人、法人或者其他组织，与联合体中的小型、微型企业之间不得存在投资关系；</w:t>
      </w:r>
    </w:p>
    <w:p>
      <w:pPr>
        <w:pStyle w:val="90"/>
        <w:snapToGrid w:val="0"/>
        <w:spacing w:line="360" w:lineRule="auto"/>
        <w:ind w:left="105" w:leftChars="50"/>
        <w:rPr>
          <w:rFonts w:ascii="宋体" w:hAnsi="宋体"/>
          <w:color w:val="auto"/>
          <w:szCs w:val="21"/>
        </w:rPr>
      </w:pPr>
      <w:r>
        <w:rPr>
          <w:rFonts w:hint="eastAsia" w:ascii="宋体" w:hAnsi="宋体"/>
          <w:color w:val="auto"/>
          <w:szCs w:val="21"/>
        </w:rPr>
        <w:t>参加政府采购活动的中小企业应当提供《中小微企业声明函》（详见第四部分 响应文件格式）。</w:t>
      </w:r>
    </w:p>
    <w:p>
      <w:pPr>
        <w:pStyle w:val="90"/>
        <w:numPr>
          <w:ilvl w:val="0"/>
          <w:numId w:val="26"/>
        </w:numPr>
        <w:snapToGrid w:val="0"/>
        <w:spacing w:line="360" w:lineRule="auto"/>
        <w:ind w:firstLineChars="0"/>
        <w:rPr>
          <w:rFonts w:ascii="宋体" w:hAnsi="宋体"/>
          <w:b/>
          <w:color w:val="auto"/>
          <w:szCs w:val="21"/>
        </w:rPr>
      </w:pPr>
      <w:r>
        <w:rPr>
          <w:rFonts w:hint="eastAsia" w:ascii="宋体" w:hAnsi="宋体"/>
          <w:b/>
          <w:color w:val="auto"/>
          <w:szCs w:val="21"/>
        </w:rPr>
        <w:t>价格评分</w:t>
      </w:r>
    </w:p>
    <w:p>
      <w:pPr>
        <w:numPr>
          <w:ilvl w:val="0"/>
          <w:numId w:val="27"/>
        </w:numPr>
        <w:autoSpaceDE w:val="0"/>
        <w:autoSpaceDN w:val="0"/>
        <w:adjustRightInd w:val="0"/>
        <w:spacing w:line="360" w:lineRule="auto"/>
        <w:jc w:val="left"/>
        <w:rPr>
          <w:rFonts w:ascii="宋体" w:hAnsi="宋体"/>
          <w:color w:val="auto"/>
          <w:szCs w:val="21"/>
        </w:rPr>
      </w:pPr>
      <w:r>
        <w:rPr>
          <w:rFonts w:hint="eastAsia" w:ascii="宋体" w:hAnsi="宋体"/>
          <w:color w:val="auto"/>
          <w:szCs w:val="21"/>
        </w:rPr>
        <w:t>磋商小组对入围的供应商的最后价格进行修正得出评审价。投标报价超过采购预算的，投标无效，未超过采购预算的投标报价按以下公式进行计算。</w:t>
      </w:r>
    </w:p>
    <w:p>
      <w:pPr>
        <w:spacing w:line="320" w:lineRule="exact"/>
        <w:jc w:val="left"/>
        <w:rPr>
          <w:rFonts w:ascii="宋体" w:hAnsi="宋体"/>
          <w:color w:val="auto"/>
          <w:szCs w:val="21"/>
        </w:rPr>
      </w:pPr>
      <w:r>
        <w:rPr>
          <w:rFonts w:hint="eastAsia" w:ascii="宋体" w:hAnsi="宋体"/>
          <w:color w:val="auto"/>
          <w:szCs w:val="21"/>
        </w:rPr>
        <w:t>（2）综合评分法中的价格分统一采用低价优先法计算，即满足招标文件要求且投标下浮率最高的投标报价为评标基准价，其价格分为满分。其他投标人的报价分统一按下列公式折算递减。即：</w:t>
      </w:r>
    </w:p>
    <w:p>
      <w:pPr>
        <w:spacing w:line="320" w:lineRule="exact"/>
        <w:jc w:val="center"/>
        <w:rPr>
          <w:rFonts w:ascii="宋体" w:hAnsi="宋体"/>
          <w:color w:val="auto"/>
          <w:szCs w:val="21"/>
        </w:rPr>
      </w:pPr>
      <w:r>
        <w:rPr>
          <w:rFonts w:hint="eastAsia" w:ascii="宋体" w:hAnsi="宋体"/>
          <w:color w:val="auto"/>
          <w:szCs w:val="21"/>
        </w:rPr>
        <w:t>评标基准下浮率</w:t>
      </w:r>
      <w:r>
        <w:rPr>
          <w:rFonts w:ascii="宋体" w:hAnsi="宋体"/>
          <w:color w:val="auto"/>
          <w:szCs w:val="21"/>
        </w:rPr>
        <w:t xml:space="preserve">= </w:t>
      </w:r>
      <w:r>
        <w:rPr>
          <w:rFonts w:hint="eastAsia" w:ascii="宋体" w:hAnsi="宋体"/>
          <w:color w:val="auto"/>
          <w:szCs w:val="21"/>
        </w:rPr>
        <w:t>有效最高下浮率</w:t>
      </w:r>
      <w:r>
        <w:rPr>
          <w:rFonts w:ascii="宋体" w:hAnsi="宋体"/>
          <w:color w:val="auto"/>
          <w:szCs w:val="21"/>
        </w:rPr>
        <w:t xml:space="preserve"> = </w:t>
      </w:r>
      <w:r>
        <w:rPr>
          <w:rFonts w:hint="eastAsia" w:ascii="宋体" w:hAnsi="宋体"/>
          <w:color w:val="auto"/>
          <w:szCs w:val="21"/>
        </w:rPr>
        <w:t>满15分</w:t>
      </w:r>
    </w:p>
    <w:p>
      <w:pPr>
        <w:snapToGrid w:val="0"/>
        <w:spacing w:line="360" w:lineRule="auto"/>
        <w:ind w:firstLine="412" w:firstLineChars="196"/>
        <w:rPr>
          <w:rFonts w:ascii="宋体" w:hAnsi="宋体"/>
          <w:color w:val="auto"/>
          <w:szCs w:val="21"/>
        </w:rPr>
      </w:pPr>
      <w:r>
        <w:rPr>
          <w:rFonts w:hint="eastAsia" w:ascii="宋体" w:hAnsi="宋体"/>
          <w:color w:val="auto"/>
          <w:szCs w:val="21"/>
        </w:rPr>
        <w:t>其他申请人的报价得分</w:t>
      </w:r>
      <w:r>
        <w:rPr>
          <w:rFonts w:ascii="宋体" w:hAnsi="宋体"/>
          <w:color w:val="auto"/>
          <w:szCs w:val="21"/>
        </w:rPr>
        <w:t xml:space="preserve"> = {</w:t>
      </w:r>
      <w:r>
        <w:rPr>
          <w:rFonts w:hint="eastAsia" w:ascii="宋体" w:hAnsi="宋体"/>
          <w:color w:val="auto"/>
          <w:szCs w:val="21"/>
        </w:rPr>
        <w:t>（1-评标基准下浮率）</w:t>
      </w:r>
      <w:r>
        <w:rPr>
          <w:rFonts w:ascii="宋体" w:hAnsi="宋体"/>
          <w:color w:val="auto"/>
          <w:szCs w:val="21"/>
        </w:rPr>
        <w:t>÷（1-</w:t>
      </w:r>
      <w:r>
        <w:rPr>
          <w:rFonts w:hint="eastAsia" w:ascii="宋体" w:hAnsi="宋体"/>
          <w:color w:val="auto"/>
          <w:szCs w:val="21"/>
        </w:rPr>
        <w:t>有效下浮率）</w:t>
      </w:r>
      <w:r>
        <w:rPr>
          <w:rFonts w:ascii="宋体" w:hAnsi="宋体"/>
          <w:color w:val="auto"/>
          <w:szCs w:val="21"/>
        </w:rPr>
        <w:t>}</w:t>
      </w:r>
      <w:r>
        <w:rPr>
          <w:rFonts w:hint="eastAsia" w:ascii="宋体" w:hAnsi="宋体"/>
          <w:color w:val="auto"/>
          <w:szCs w:val="21"/>
        </w:rPr>
        <w:t>x价格权值</w:t>
      </w:r>
      <w:r>
        <w:rPr>
          <w:rFonts w:ascii="宋体" w:hAnsi="宋体"/>
          <w:color w:val="auto"/>
          <w:szCs w:val="21"/>
        </w:rPr>
        <w:t>×</w:t>
      </w:r>
      <w:r>
        <w:rPr>
          <w:rFonts w:hint="eastAsia" w:ascii="宋体" w:hAnsi="宋体"/>
          <w:color w:val="auto"/>
          <w:szCs w:val="21"/>
        </w:rPr>
        <w:t>100</w:t>
      </w:r>
    </w:p>
    <w:p>
      <w:pPr>
        <w:numPr>
          <w:ilvl w:val="0"/>
          <w:numId w:val="22"/>
        </w:numPr>
        <w:tabs>
          <w:tab w:val="left" w:pos="567"/>
          <w:tab w:val="left" w:pos="851"/>
        </w:tabs>
        <w:snapToGrid w:val="0"/>
        <w:spacing w:line="360" w:lineRule="auto"/>
        <w:rPr>
          <w:rFonts w:ascii="宋体" w:hAnsi="宋体" w:cs="宋体"/>
          <w:b/>
          <w:color w:val="auto"/>
          <w:sz w:val="24"/>
          <w:szCs w:val="21"/>
        </w:rPr>
      </w:pPr>
      <w:bookmarkStart w:id="196" w:name="_Toc418701686"/>
      <w:r>
        <w:rPr>
          <w:rFonts w:hint="eastAsia" w:ascii="宋体" w:hAnsi="宋体" w:cs="宋体"/>
          <w:b/>
          <w:color w:val="auto"/>
          <w:sz w:val="24"/>
          <w:szCs w:val="21"/>
        </w:rPr>
        <w:t>推荐成交候选人名单</w:t>
      </w:r>
      <w:bookmarkEnd w:id="196"/>
    </w:p>
    <w:p>
      <w:pPr>
        <w:snapToGrid w:val="0"/>
        <w:spacing w:line="360" w:lineRule="auto"/>
        <w:ind w:firstLine="420" w:firstLineChars="200"/>
        <w:rPr>
          <w:rFonts w:ascii="宋体" w:hAnsi="宋体"/>
          <w:color w:val="auto"/>
          <w:szCs w:val="21"/>
        </w:rPr>
      </w:pPr>
      <w:r>
        <w:rPr>
          <w:rFonts w:hint="eastAsia" w:ascii="宋体" w:hAnsi="宋体"/>
          <w:color w:val="auto"/>
          <w:szCs w:val="21"/>
        </w:rPr>
        <w:t>详见磋商须知前附表第11项。</w:t>
      </w:r>
    </w:p>
    <w:p>
      <w:pPr>
        <w:numPr>
          <w:ilvl w:val="0"/>
          <w:numId w:val="22"/>
        </w:numPr>
        <w:tabs>
          <w:tab w:val="left" w:pos="567"/>
          <w:tab w:val="left" w:pos="851"/>
        </w:tabs>
        <w:snapToGrid w:val="0"/>
        <w:spacing w:line="360" w:lineRule="auto"/>
        <w:rPr>
          <w:rFonts w:ascii="宋体" w:hAnsi="宋体" w:cs="宋体"/>
          <w:b/>
          <w:color w:val="auto"/>
          <w:sz w:val="24"/>
          <w:szCs w:val="21"/>
        </w:rPr>
      </w:pPr>
      <w:bookmarkStart w:id="197" w:name="_Toc418701687"/>
      <w:r>
        <w:rPr>
          <w:rFonts w:hint="eastAsia" w:ascii="宋体" w:hAnsi="宋体" w:cs="宋体"/>
          <w:b/>
          <w:color w:val="auto"/>
          <w:sz w:val="24"/>
          <w:szCs w:val="21"/>
        </w:rPr>
        <w:t>确定成交供应商</w:t>
      </w:r>
      <w:bookmarkEnd w:id="197"/>
    </w:p>
    <w:p>
      <w:pPr>
        <w:spacing w:line="360" w:lineRule="auto"/>
        <w:ind w:firstLine="420" w:firstLineChars="200"/>
        <w:rPr>
          <w:rFonts w:ascii="宋体" w:hAnsi="宋体"/>
          <w:color w:val="auto"/>
          <w:szCs w:val="21"/>
        </w:rPr>
      </w:pPr>
      <w:r>
        <w:rPr>
          <w:rFonts w:hint="eastAsia" w:ascii="宋体" w:hAnsi="宋体"/>
          <w:color w:val="auto"/>
          <w:szCs w:val="21"/>
        </w:rPr>
        <w:t>采购人将根据评审结果，确定成交供应商。采购代理机构受采购人委托在规定的媒体</w:t>
      </w:r>
      <w:r>
        <w:rPr>
          <w:rFonts w:ascii="宋体" w:hAnsi="宋体"/>
          <w:bCs/>
          <w:color w:val="auto"/>
          <w:szCs w:val="21"/>
        </w:rPr>
        <w:t>上</w:t>
      </w:r>
      <w:r>
        <w:rPr>
          <w:rFonts w:hint="eastAsia" w:ascii="宋体" w:hAnsi="宋体"/>
          <w:bCs/>
          <w:color w:val="auto"/>
          <w:szCs w:val="21"/>
        </w:rPr>
        <w:t>发布成交公告，同时</w:t>
      </w:r>
      <w:r>
        <w:rPr>
          <w:rFonts w:hint="eastAsia" w:ascii="宋体" w:hAnsi="宋体"/>
          <w:color w:val="auto"/>
          <w:szCs w:val="21"/>
        </w:rPr>
        <w:t>向成交供应商发出书面《中标通知书》。</w:t>
      </w:r>
    </w:p>
    <w:p>
      <w:pPr>
        <w:spacing w:line="360" w:lineRule="auto"/>
        <w:rPr>
          <w:rFonts w:ascii="宋体" w:hAnsi="宋体"/>
          <w:b/>
          <w:bCs/>
          <w:color w:val="auto"/>
          <w:sz w:val="28"/>
        </w:rPr>
      </w:pPr>
    </w:p>
    <w:p>
      <w:pPr>
        <w:spacing w:line="360" w:lineRule="auto"/>
        <w:rPr>
          <w:rFonts w:ascii="宋体" w:hAnsi="宋体"/>
          <w:b/>
          <w:bCs/>
          <w:color w:val="auto"/>
          <w:sz w:val="28"/>
        </w:rPr>
      </w:pPr>
    </w:p>
    <w:p>
      <w:pPr>
        <w:spacing w:line="360" w:lineRule="auto"/>
        <w:rPr>
          <w:rFonts w:ascii="宋体" w:hAnsi="宋体"/>
          <w:b/>
          <w:bCs/>
          <w:color w:val="auto"/>
          <w:sz w:val="28"/>
        </w:rPr>
      </w:pPr>
      <w:r>
        <w:rPr>
          <w:rFonts w:hint="eastAsia" w:ascii="宋体" w:hAnsi="宋体"/>
          <w:b/>
          <w:bCs/>
          <w:color w:val="auto"/>
          <w:sz w:val="28"/>
        </w:rPr>
        <w:t>附表一：</w:t>
      </w:r>
    </w:p>
    <w:p>
      <w:pPr>
        <w:spacing w:line="360" w:lineRule="auto"/>
        <w:jc w:val="center"/>
        <w:rPr>
          <w:rFonts w:ascii="宋体" w:hAnsi="宋体"/>
          <w:b/>
          <w:bCs/>
          <w:color w:val="auto"/>
          <w:sz w:val="28"/>
        </w:rPr>
      </w:pPr>
      <w:r>
        <w:rPr>
          <w:rFonts w:hint="eastAsia" w:ascii="宋体" w:hAnsi="宋体"/>
          <w:b/>
          <w:bCs/>
          <w:color w:val="auto"/>
          <w:sz w:val="28"/>
        </w:rPr>
        <w:t>初步评审表</w:t>
      </w:r>
    </w:p>
    <w:tbl>
      <w:tblPr>
        <w:tblStyle w:val="37"/>
        <w:tblW w:w="7830"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966"/>
        <w:gridCol w:w="3969"/>
        <w:gridCol w:w="189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5935" w:type="dxa"/>
            <w:gridSpan w:val="2"/>
            <w:vAlign w:val="center"/>
          </w:tcPr>
          <w:p>
            <w:pPr>
              <w:spacing w:line="360" w:lineRule="auto"/>
              <w:jc w:val="center"/>
              <w:rPr>
                <w:rFonts w:ascii="宋体" w:hAnsi="宋体"/>
                <w:b/>
                <w:color w:val="auto"/>
                <w:szCs w:val="21"/>
              </w:rPr>
            </w:pPr>
            <w:r>
              <w:rPr>
                <w:rFonts w:hint="eastAsia" w:ascii="宋体" w:hAnsi="宋体"/>
                <w:b/>
                <w:color w:val="auto"/>
                <w:szCs w:val="21"/>
              </w:rPr>
              <w:t>评审内容</w:t>
            </w:r>
          </w:p>
        </w:tc>
        <w:tc>
          <w:tcPr>
            <w:tcW w:w="1895" w:type="dxa"/>
            <w:vAlign w:val="center"/>
          </w:tcPr>
          <w:p>
            <w:pPr>
              <w:spacing w:line="360" w:lineRule="auto"/>
              <w:jc w:val="center"/>
              <w:rPr>
                <w:rFonts w:ascii="宋体" w:hAnsi="宋体"/>
                <w:b/>
                <w:color w:val="auto"/>
                <w:szCs w:val="21"/>
              </w:rPr>
            </w:pPr>
            <w:r>
              <w:rPr>
                <w:rFonts w:hint="eastAsia" w:ascii="宋体" w:hAnsi="宋体"/>
                <w:b/>
                <w:color w:val="auto"/>
                <w:szCs w:val="21"/>
              </w:rPr>
              <w:t>供应商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66" w:type="dxa"/>
            <w:vMerge w:val="restart"/>
            <w:vAlign w:val="center"/>
          </w:tcPr>
          <w:p>
            <w:pPr>
              <w:spacing w:line="360" w:lineRule="auto"/>
              <w:jc w:val="center"/>
              <w:rPr>
                <w:rFonts w:ascii="宋体" w:hAnsi="宋体"/>
                <w:color w:val="auto"/>
                <w:szCs w:val="21"/>
              </w:rPr>
            </w:pPr>
            <w:r>
              <w:rPr>
                <w:rFonts w:hint="eastAsia" w:ascii="宋体" w:hAnsi="宋体"/>
                <w:color w:val="auto"/>
                <w:szCs w:val="21"/>
              </w:rPr>
              <w:t>资格性检查</w:t>
            </w:r>
          </w:p>
        </w:tc>
        <w:tc>
          <w:tcPr>
            <w:tcW w:w="3969" w:type="dxa"/>
            <w:vAlign w:val="center"/>
          </w:tcPr>
          <w:p>
            <w:pPr>
              <w:spacing w:line="360" w:lineRule="auto"/>
              <w:rPr>
                <w:rFonts w:ascii="宋体" w:hAnsi="宋体"/>
                <w:color w:val="auto"/>
                <w:szCs w:val="21"/>
              </w:rPr>
            </w:pPr>
            <w:r>
              <w:rPr>
                <w:rFonts w:hint="eastAsia" w:ascii="宋体" w:hAnsi="宋体" w:cs="宋体"/>
                <w:bCs/>
                <w:color w:val="auto"/>
                <w:kern w:val="0"/>
                <w:szCs w:val="21"/>
              </w:rPr>
              <w:t>符合</w:t>
            </w:r>
            <w:r>
              <w:rPr>
                <w:rFonts w:hint="eastAsia"/>
                <w:color w:val="auto"/>
              </w:rPr>
              <w:t>磋商文件规定的资格要求</w:t>
            </w:r>
          </w:p>
        </w:tc>
        <w:tc>
          <w:tcPr>
            <w:tcW w:w="1895" w:type="dxa"/>
            <w:vAlign w:val="center"/>
          </w:tcPr>
          <w:p>
            <w:pPr>
              <w:spacing w:line="360" w:lineRule="auto"/>
              <w:jc w:val="center"/>
              <w:rPr>
                <w:rFonts w:ascii="宋体" w:hAnsi="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66" w:type="dxa"/>
            <w:vMerge w:val="continue"/>
            <w:vAlign w:val="center"/>
          </w:tcPr>
          <w:p>
            <w:pPr>
              <w:spacing w:line="360" w:lineRule="auto"/>
              <w:jc w:val="center"/>
              <w:rPr>
                <w:rFonts w:ascii="宋体" w:hAnsi="宋体"/>
                <w:color w:val="auto"/>
                <w:szCs w:val="21"/>
              </w:rPr>
            </w:pPr>
          </w:p>
        </w:tc>
        <w:tc>
          <w:tcPr>
            <w:tcW w:w="3969" w:type="dxa"/>
            <w:vAlign w:val="center"/>
          </w:tcPr>
          <w:p>
            <w:pPr>
              <w:spacing w:line="360" w:lineRule="auto"/>
              <w:rPr>
                <w:rFonts w:ascii="宋体" w:hAnsi="宋体"/>
                <w:color w:val="auto"/>
                <w:szCs w:val="21"/>
              </w:rPr>
            </w:pPr>
            <w:r>
              <w:rPr>
                <w:rFonts w:hint="eastAsia" w:ascii="宋体" w:hAnsi="宋体"/>
                <w:color w:val="auto"/>
                <w:szCs w:val="21"/>
              </w:rPr>
              <w:t>保证金按要求提交</w:t>
            </w:r>
          </w:p>
        </w:tc>
        <w:tc>
          <w:tcPr>
            <w:tcW w:w="1895" w:type="dxa"/>
            <w:vAlign w:val="center"/>
          </w:tcPr>
          <w:p>
            <w:pPr>
              <w:spacing w:line="360" w:lineRule="auto"/>
              <w:jc w:val="center"/>
              <w:rPr>
                <w:rFonts w:ascii="宋体" w:hAnsi="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66" w:type="dxa"/>
            <w:vMerge w:val="restart"/>
            <w:vAlign w:val="center"/>
          </w:tcPr>
          <w:p>
            <w:pPr>
              <w:spacing w:line="360" w:lineRule="auto"/>
              <w:jc w:val="center"/>
              <w:rPr>
                <w:rFonts w:ascii="宋体" w:hAnsi="宋体"/>
                <w:color w:val="auto"/>
                <w:szCs w:val="21"/>
              </w:rPr>
            </w:pPr>
            <w:r>
              <w:rPr>
                <w:rFonts w:hint="eastAsia" w:ascii="宋体" w:hAnsi="宋体"/>
                <w:color w:val="auto"/>
                <w:szCs w:val="21"/>
              </w:rPr>
              <w:t>符合性检查</w:t>
            </w:r>
          </w:p>
        </w:tc>
        <w:tc>
          <w:tcPr>
            <w:tcW w:w="3969" w:type="dxa"/>
            <w:vAlign w:val="center"/>
          </w:tcPr>
          <w:p>
            <w:pPr>
              <w:spacing w:line="360" w:lineRule="auto"/>
              <w:rPr>
                <w:rFonts w:ascii="宋体" w:hAnsi="宋体"/>
                <w:color w:val="auto"/>
                <w:szCs w:val="21"/>
              </w:rPr>
            </w:pPr>
            <w:r>
              <w:rPr>
                <w:rFonts w:hint="eastAsia" w:ascii="宋体" w:hAnsi="宋体"/>
                <w:color w:val="auto"/>
                <w:szCs w:val="21"/>
              </w:rPr>
              <w:t>符合磋商有效期</w:t>
            </w:r>
          </w:p>
        </w:tc>
        <w:tc>
          <w:tcPr>
            <w:tcW w:w="1895" w:type="dxa"/>
            <w:vAlign w:val="center"/>
          </w:tcPr>
          <w:p>
            <w:pPr>
              <w:spacing w:line="360" w:lineRule="auto"/>
              <w:jc w:val="center"/>
              <w:rPr>
                <w:rFonts w:ascii="宋体" w:hAnsi="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66" w:type="dxa"/>
            <w:vMerge w:val="continue"/>
            <w:vAlign w:val="center"/>
          </w:tcPr>
          <w:p>
            <w:pPr>
              <w:spacing w:line="360" w:lineRule="auto"/>
              <w:rPr>
                <w:rFonts w:ascii="宋体" w:hAnsi="宋体"/>
                <w:color w:val="auto"/>
                <w:szCs w:val="21"/>
              </w:rPr>
            </w:pPr>
          </w:p>
        </w:tc>
        <w:tc>
          <w:tcPr>
            <w:tcW w:w="3969" w:type="dxa"/>
            <w:vAlign w:val="center"/>
          </w:tcPr>
          <w:p>
            <w:pPr>
              <w:spacing w:line="360" w:lineRule="auto"/>
              <w:rPr>
                <w:rFonts w:ascii="宋体" w:hAnsi="宋体"/>
                <w:color w:val="auto"/>
                <w:szCs w:val="21"/>
              </w:rPr>
            </w:pPr>
            <w:r>
              <w:rPr>
                <w:rFonts w:hint="eastAsia" w:ascii="宋体" w:hAnsi="宋体"/>
                <w:color w:val="auto"/>
                <w:szCs w:val="21"/>
              </w:rPr>
              <w:t>响应文件签署合格</w:t>
            </w:r>
          </w:p>
        </w:tc>
        <w:tc>
          <w:tcPr>
            <w:tcW w:w="1895" w:type="dxa"/>
            <w:vAlign w:val="center"/>
          </w:tcPr>
          <w:p>
            <w:pPr>
              <w:spacing w:line="360" w:lineRule="auto"/>
              <w:jc w:val="center"/>
              <w:rPr>
                <w:rFonts w:ascii="宋体" w:hAnsi="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66" w:type="dxa"/>
            <w:vMerge w:val="continue"/>
            <w:vAlign w:val="center"/>
          </w:tcPr>
          <w:p>
            <w:pPr>
              <w:spacing w:line="360" w:lineRule="auto"/>
              <w:rPr>
                <w:rFonts w:ascii="宋体" w:hAnsi="宋体"/>
                <w:color w:val="auto"/>
                <w:szCs w:val="21"/>
              </w:rPr>
            </w:pPr>
          </w:p>
        </w:tc>
        <w:tc>
          <w:tcPr>
            <w:tcW w:w="3969" w:type="dxa"/>
            <w:vAlign w:val="center"/>
          </w:tcPr>
          <w:p>
            <w:pPr>
              <w:spacing w:line="360" w:lineRule="auto"/>
              <w:rPr>
                <w:rFonts w:ascii="宋体" w:hAnsi="宋体"/>
                <w:color w:val="auto"/>
                <w:szCs w:val="21"/>
              </w:rPr>
            </w:pPr>
            <w:r>
              <w:rPr>
                <w:rFonts w:hint="eastAsia"/>
                <w:b/>
                <w:color w:val="auto"/>
                <w:szCs w:val="21"/>
              </w:rPr>
              <w:t>最终报价未超过本项目预算价</w:t>
            </w:r>
          </w:p>
        </w:tc>
        <w:tc>
          <w:tcPr>
            <w:tcW w:w="1895" w:type="dxa"/>
            <w:vAlign w:val="center"/>
          </w:tcPr>
          <w:p>
            <w:pPr>
              <w:spacing w:line="360" w:lineRule="auto"/>
              <w:jc w:val="center"/>
              <w:rPr>
                <w:rFonts w:ascii="宋体" w:hAnsi="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66" w:type="dxa"/>
            <w:vMerge w:val="continue"/>
            <w:vAlign w:val="center"/>
          </w:tcPr>
          <w:p>
            <w:pPr>
              <w:spacing w:line="360" w:lineRule="auto"/>
              <w:rPr>
                <w:rFonts w:ascii="宋体" w:hAnsi="宋体"/>
                <w:color w:val="auto"/>
                <w:szCs w:val="21"/>
              </w:rPr>
            </w:pPr>
          </w:p>
        </w:tc>
        <w:tc>
          <w:tcPr>
            <w:tcW w:w="3969" w:type="dxa"/>
            <w:vAlign w:val="center"/>
          </w:tcPr>
          <w:p>
            <w:pPr>
              <w:spacing w:line="360" w:lineRule="auto"/>
              <w:rPr>
                <w:rFonts w:ascii="宋体" w:hAnsi="宋体" w:cs="宋体"/>
                <w:color w:val="auto"/>
                <w:szCs w:val="21"/>
              </w:rPr>
            </w:pPr>
            <w:r>
              <w:rPr>
                <w:rFonts w:hint="eastAsia" w:ascii="宋体" w:hAnsi="宋体" w:cs="宋体"/>
                <w:color w:val="auto"/>
                <w:szCs w:val="21"/>
              </w:rPr>
              <w:t>完全满足磋商文件中“★”标注的条款</w:t>
            </w:r>
          </w:p>
          <w:p>
            <w:pPr>
              <w:spacing w:line="360" w:lineRule="auto"/>
              <w:rPr>
                <w:rFonts w:ascii="宋体" w:hAnsi="宋体"/>
                <w:color w:val="auto"/>
                <w:szCs w:val="21"/>
              </w:rPr>
            </w:pPr>
            <w:r>
              <w:rPr>
                <w:rFonts w:hint="eastAsia" w:ascii="宋体" w:hAnsi="宋体" w:cs="宋体"/>
                <w:color w:val="auto"/>
                <w:szCs w:val="21"/>
              </w:rPr>
              <w:t>（</w:t>
            </w:r>
            <w:r>
              <w:rPr>
                <w:rFonts w:hint="eastAsia" w:ascii="宋体" w:hAnsi="宋体"/>
                <w:b/>
                <w:color w:val="auto"/>
                <w:szCs w:val="21"/>
              </w:rPr>
              <w:t>若磋商文件发生实质性变动的，本条将针对供应商重新提交的响应文件进行评审）</w:t>
            </w:r>
          </w:p>
        </w:tc>
        <w:tc>
          <w:tcPr>
            <w:tcW w:w="1895" w:type="dxa"/>
            <w:vAlign w:val="center"/>
          </w:tcPr>
          <w:p>
            <w:pPr>
              <w:spacing w:line="360" w:lineRule="auto"/>
              <w:jc w:val="center"/>
              <w:rPr>
                <w:rFonts w:ascii="宋体" w:hAnsi="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1966" w:type="dxa"/>
            <w:vMerge w:val="continue"/>
            <w:vAlign w:val="center"/>
          </w:tcPr>
          <w:p>
            <w:pPr>
              <w:spacing w:line="360" w:lineRule="auto"/>
              <w:rPr>
                <w:rFonts w:ascii="宋体" w:hAnsi="宋体"/>
                <w:color w:val="auto"/>
                <w:szCs w:val="21"/>
              </w:rPr>
            </w:pPr>
          </w:p>
        </w:tc>
        <w:tc>
          <w:tcPr>
            <w:tcW w:w="3969" w:type="dxa"/>
            <w:vAlign w:val="center"/>
          </w:tcPr>
          <w:p>
            <w:pPr>
              <w:spacing w:line="360" w:lineRule="auto"/>
              <w:rPr>
                <w:rFonts w:ascii="宋体" w:hAnsi="宋体"/>
                <w:color w:val="auto"/>
                <w:szCs w:val="21"/>
              </w:rPr>
            </w:pPr>
            <w:r>
              <w:rPr>
                <w:rFonts w:hint="eastAsia" w:ascii="宋体" w:hAnsi="宋体" w:cs="宋体"/>
                <w:color w:val="auto"/>
                <w:szCs w:val="21"/>
              </w:rPr>
              <w:t>未出现有关法律、法规、规章或磋商文件规定的属于响应无效的情形</w:t>
            </w:r>
          </w:p>
        </w:tc>
        <w:tc>
          <w:tcPr>
            <w:tcW w:w="1895" w:type="dxa"/>
            <w:vAlign w:val="center"/>
          </w:tcPr>
          <w:p>
            <w:pPr>
              <w:spacing w:line="360" w:lineRule="auto"/>
              <w:jc w:val="center"/>
              <w:rPr>
                <w:rFonts w:ascii="宋体" w:hAnsi="宋体"/>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5" w:hRule="atLeast"/>
          <w:jc w:val="center"/>
        </w:trPr>
        <w:tc>
          <w:tcPr>
            <w:tcW w:w="1966" w:type="dxa"/>
            <w:vAlign w:val="center"/>
          </w:tcPr>
          <w:p>
            <w:pPr>
              <w:spacing w:line="360" w:lineRule="auto"/>
              <w:jc w:val="center"/>
              <w:rPr>
                <w:rFonts w:ascii="宋体" w:hAnsi="宋体"/>
                <w:color w:val="auto"/>
                <w:szCs w:val="21"/>
              </w:rPr>
            </w:pPr>
            <w:r>
              <w:rPr>
                <w:rFonts w:hint="eastAsia" w:ascii="宋体" w:hAnsi="宋体"/>
                <w:color w:val="auto"/>
                <w:szCs w:val="21"/>
              </w:rPr>
              <w:t>结论</w:t>
            </w:r>
          </w:p>
        </w:tc>
        <w:tc>
          <w:tcPr>
            <w:tcW w:w="3969" w:type="dxa"/>
            <w:vAlign w:val="center"/>
          </w:tcPr>
          <w:p>
            <w:pPr>
              <w:spacing w:line="360" w:lineRule="auto"/>
              <w:jc w:val="center"/>
              <w:rPr>
                <w:rFonts w:ascii="宋体" w:hAnsi="宋体"/>
                <w:color w:val="auto"/>
                <w:szCs w:val="21"/>
              </w:rPr>
            </w:pPr>
            <w:r>
              <w:rPr>
                <w:rFonts w:hint="eastAsia" w:ascii="宋体" w:hAnsi="宋体"/>
                <w:color w:val="auto"/>
                <w:szCs w:val="21"/>
              </w:rPr>
              <w:t>是否实质性响应磋商文件</w:t>
            </w:r>
          </w:p>
          <w:p>
            <w:pPr>
              <w:spacing w:line="360" w:lineRule="auto"/>
              <w:jc w:val="center"/>
              <w:rPr>
                <w:rFonts w:ascii="宋体" w:hAnsi="宋体"/>
                <w:color w:val="auto"/>
                <w:szCs w:val="21"/>
              </w:rPr>
            </w:pPr>
            <w:r>
              <w:rPr>
                <w:rFonts w:hint="eastAsia" w:ascii="宋体" w:hAnsi="宋体"/>
                <w:color w:val="auto"/>
                <w:szCs w:val="21"/>
              </w:rPr>
              <w:t>（写“是”或“否”）</w:t>
            </w:r>
          </w:p>
        </w:tc>
        <w:tc>
          <w:tcPr>
            <w:tcW w:w="1895" w:type="dxa"/>
            <w:vAlign w:val="center"/>
          </w:tcPr>
          <w:p>
            <w:pPr>
              <w:spacing w:line="360" w:lineRule="auto"/>
              <w:jc w:val="center"/>
              <w:rPr>
                <w:rFonts w:ascii="宋体" w:hAnsi="宋体"/>
                <w:color w:val="auto"/>
                <w:szCs w:val="21"/>
              </w:rPr>
            </w:pPr>
          </w:p>
        </w:tc>
      </w:tr>
    </w:tbl>
    <w:p>
      <w:pPr>
        <w:tabs>
          <w:tab w:val="left" w:pos="720"/>
        </w:tabs>
        <w:snapToGrid w:val="0"/>
        <w:spacing w:line="360" w:lineRule="auto"/>
        <w:rPr>
          <w:rFonts w:ascii="宋体" w:hAnsi="宋体"/>
          <w:color w:val="auto"/>
          <w:szCs w:val="21"/>
        </w:rPr>
      </w:pPr>
      <w:r>
        <w:rPr>
          <w:rFonts w:hint="eastAsia" w:ascii="宋体" w:hAnsi="宋体"/>
          <w:color w:val="auto"/>
          <w:szCs w:val="21"/>
        </w:rPr>
        <w:t>注：</w:t>
      </w:r>
    </w:p>
    <w:p>
      <w:pPr>
        <w:tabs>
          <w:tab w:val="left" w:pos="720"/>
        </w:tabs>
        <w:snapToGrid w:val="0"/>
        <w:spacing w:line="360" w:lineRule="auto"/>
        <w:ind w:left="360"/>
        <w:rPr>
          <w:rFonts w:hAnsi="宋体"/>
          <w:color w:val="auto"/>
        </w:rPr>
      </w:pPr>
      <w:r>
        <w:rPr>
          <w:rFonts w:hint="eastAsia" w:ascii="宋体" w:hAnsi="宋体" w:cs="宋体"/>
          <w:color w:val="auto"/>
          <w:kern w:val="0"/>
          <w:szCs w:val="21"/>
        </w:rPr>
        <w:t>每一项符合要求的打“○”，对不符合要求的打“×”，并在结论栏中简要说明原因。</w:t>
      </w:r>
      <w:r>
        <w:rPr>
          <w:rFonts w:hint="eastAsia" w:ascii="宋体" w:hAnsi="宋体"/>
          <w:color w:val="auto"/>
          <w:szCs w:val="21"/>
        </w:rPr>
        <w:t>出现一个“×”的结论为未实质性响应磋商文件。</w:t>
      </w:r>
    </w:p>
    <w:p>
      <w:pPr>
        <w:spacing w:line="360" w:lineRule="auto"/>
        <w:rPr>
          <w:color w:val="auto"/>
        </w:rPr>
      </w:pPr>
    </w:p>
    <w:p>
      <w:pPr>
        <w:spacing w:line="400" w:lineRule="exact"/>
        <w:rPr>
          <w:rFonts w:ascii="宋体" w:hAnsi="宋体"/>
          <w:b/>
          <w:bCs/>
          <w:color w:val="auto"/>
          <w:sz w:val="28"/>
        </w:rPr>
      </w:pPr>
      <w:r>
        <w:rPr>
          <w:color w:val="auto"/>
        </w:rPr>
        <w:br w:type="page"/>
      </w:r>
      <w:bookmarkEnd w:id="6"/>
      <w:bookmarkEnd w:id="152"/>
      <w:bookmarkEnd w:id="153"/>
      <w:bookmarkEnd w:id="154"/>
      <w:bookmarkEnd w:id="155"/>
      <w:bookmarkEnd w:id="156"/>
      <w:bookmarkEnd w:id="167"/>
      <w:bookmarkEnd w:id="168"/>
      <w:bookmarkEnd w:id="169"/>
      <w:bookmarkEnd w:id="170"/>
      <w:bookmarkEnd w:id="171"/>
      <w:bookmarkEnd w:id="172"/>
      <w:bookmarkStart w:id="198" w:name="_Toc25176"/>
      <w:r>
        <w:rPr>
          <w:rFonts w:hint="eastAsia" w:ascii="宋体" w:hAnsi="宋体"/>
          <w:b/>
          <w:bCs/>
          <w:color w:val="auto"/>
          <w:sz w:val="28"/>
        </w:rPr>
        <w:t>附表二：</w:t>
      </w:r>
    </w:p>
    <w:p>
      <w:pPr>
        <w:spacing w:line="480" w:lineRule="auto"/>
        <w:jc w:val="center"/>
        <w:rPr>
          <w:rFonts w:ascii="宋体" w:hAnsi="宋体"/>
          <w:b/>
          <w:bCs/>
          <w:color w:val="auto"/>
          <w:sz w:val="28"/>
        </w:rPr>
      </w:pPr>
      <w:r>
        <w:rPr>
          <w:rFonts w:hint="eastAsia" w:ascii="宋体" w:hAnsi="宋体"/>
          <w:b/>
          <w:bCs/>
          <w:color w:val="auto"/>
          <w:sz w:val="28"/>
        </w:rPr>
        <w:t>技术评审表</w:t>
      </w:r>
    </w:p>
    <w:tbl>
      <w:tblPr>
        <w:tblStyle w:val="37"/>
        <w:tblW w:w="8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117"/>
        <w:gridCol w:w="584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550" w:type="dxa"/>
            <w:vAlign w:val="center"/>
          </w:tcPr>
          <w:p>
            <w:pPr>
              <w:jc w:val="center"/>
              <w:rPr>
                <w:rFonts w:ascii="宋体" w:hAnsi="宋体" w:cs="宋体"/>
                <w:color w:val="auto"/>
                <w:szCs w:val="21"/>
              </w:rPr>
            </w:pPr>
            <w:r>
              <w:rPr>
                <w:rFonts w:hint="eastAsia" w:ascii="宋体" w:hAnsi="宋体" w:cs="宋体"/>
                <w:color w:val="auto"/>
                <w:szCs w:val="21"/>
              </w:rPr>
              <w:t>序号</w:t>
            </w:r>
          </w:p>
        </w:tc>
        <w:tc>
          <w:tcPr>
            <w:tcW w:w="1117" w:type="dxa"/>
            <w:vAlign w:val="center"/>
          </w:tcPr>
          <w:p>
            <w:pPr>
              <w:jc w:val="center"/>
              <w:rPr>
                <w:rFonts w:ascii="宋体" w:hAnsi="宋体" w:cs="宋体"/>
                <w:color w:val="auto"/>
                <w:szCs w:val="21"/>
              </w:rPr>
            </w:pPr>
            <w:r>
              <w:rPr>
                <w:rFonts w:hint="eastAsia" w:ascii="宋体" w:hAnsi="宋体" w:cs="宋体"/>
                <w:color w:val="auto"/>
                <w:szCs w:val="21"/>
              </w:rPr>
              <w:t>评审项目</w:t>
            </w:r>
          </w:p>
        </w:tc>
        <w:tc>
          <w:tcPr>
            <w:tcW w:w="5847" w:type="dxa"/>
            <w:tcBorders>
              <w:bottom w:val="single" w:color="auto" w:sz="4" w:space="0"/>
            </w:tcBorders>
            <w:vAlign w:val="center"/>
          </w:tcPr>
          <w:p>
            <w:pPr>
              <w:jc w:val="center"/>
              <w:rPr>
                <w:rFonts w:ascii="宋体" w:hAnsi="宋体" w:cs="宋体"/>
                <w:color w:val="auto"/>
                <w:szCs w:val="21"/>
              </w:rPr>
            </w:pPr>
            <w:r>
              <w:rPr>
                <w:rFonts w:hint="eastAsia" w:ascii="宋体" w:hAnsi="宋体" w:cs="宋体"/>
                <w:color w:val="auto"/>
                <w:szCs w:val="21"/>
              </w:rPr>
              <w:t>评分细则</w:t>
            </w:r>
          </w:p>
        </w:tc>
        <w:tc>
          <w:tcPr>
            <w:tcW w:w="992" w:type="dxa"/>
            <w:vAlign w:val="center"/>
          </w:tcPr>
          <w:p>
            <w:pPr>
              <w:jc w:val="center"/>
              <w:rPr>
                <w:rFonts w:ascii="宋体" w:hAnsi="宋体" w:cs="宋体"/>
                <w:color w:val="auto"/>
                <w:szCs w:val="21"/>
              </w:rPr>
            </w:pPr>
            <w:r>
              <w:rPr>
                <w:rFonts w:hint="eastAsia" w:ascii="宋体" w:hAnsi="宋体" w:cs="宋体"/>
                <w:color w:val="auto"/>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6" w:hRule="atLeast"/>
          <w:jc w:val="center"/>
        </w:trPr>
        <w:tc>
          <w:tcPr>
            <w:tcW w:w="550" w:type="dxa"/>
            <w:vAlign w:val="center"/>
          </w:tcPr>
          <w:p>
            <w:pPr>
              <w:adjustRightInd w:val="0"/>
              <w:snapToGrid w:val="0"/>
              <w:spacing w:after="60"/>
              <w:ind w:left="-78" w:right="-73"/>
              <w:jc w:val="center"/>
              <w:rPr>
                <w:color w:val="auto"/>
              </w:rPr>
            </w:pPr>
            <w:r>
              <w:rPr>
                <w:rFonts w:hint="eastAsia"/>
                <w:color w:val="auto"/>
              </w:rPr>
              <w:t>1</w:t>
            </w:r>
          </w:p>
        </w:tc>
        <w:tc>
          <w:tcPr>
            <w:tcW w:w="1117" w:type="dxa"/>
            <w:vAlign w:val="center"/>
          </w:tcPr>
          <w:p>
            <w:pPr>
              <w:jc w:val="center"/>
              <w:rPr>
                <w:color w:val="auto"/>
              </w:rPr>
            </w:pPr>
            <w:r>
              <w:rPr>
                <w:rFonts w:hint="eastAsia"/>
                <w:color w:val="auto"/>
              </w:rPr>
              <w:t>投标文件对用户需求的符合性</w:t>
            </w:r>
          </w:p>
        </w:tc>
        <w:tc>
          <w:tcPr>
            <w:tcW w:w="5847" w:type="dxa"/>
            <w:vAlign w:val="center"/>
          </w:tcPr>
          <w:p>
            <w:pPr>
              <w:adjustRightInd w:val="0"/>
              <w:snapToGrid w:val="0"/>
              <w:spacing w:after="60"/>
              <w:ind w:left="-78" w:right="-73"/>
              <w:jc w:val="left"/>
              <w:rPr>
                <w:color w:val="auto"/>
              </w:rPr>
            </w:pPr>
            <w:r>
              <w:rPr>
                <w:rFonts w:hint="eastAsia"/>
                <w:color w:val="auto"/>
              </w:rPr>
              <w:t>投标文件对用户需求完全响应，符合性高 得 10分。</w:t>
            </w:r>
          </w:p>
          <w:p>
            <w:pPr>
              <w:adjustRightInd w:val="0"/>
              <w:snapToGrid w:val="0"/>
              <w:spacing w:after="60"/>
              <w:ind w:left="-78" w:right="-73"/>
              <w:jc w:val="left"/>
              <w:rPr>
                <w:color w:val="auto"/>
              </w:rPr>
            </w:pPr>
            <w:r>
              <w:rPr>
                <w:rFonts w:hint="eastAsia"/>
                <w:color w:val="auto"/>
              </w:rPr>
              <w:t>投标文件对用户需求有作出响应，符合性较好 得 7 分。</w:t>
            </w:r>
          </w:p>
          <w:p>
            <w:pPr>
              <w:adjustRightInd w:val="0"/>
              <w:snapToGrid w:val="0"/>
              <w:spacing w:after="60"/>
              <w:ind w:left="-78" w:right="-73"/>
              <w:jc w:val="left"/>
              <w:rPr>
                <w:color w:val="auto"/>
              </w:rPr>
            </w:pPr>
            <w:r>
              <w:rPr>
                <w:rFonts w:hint="eastAsia"/>
                <w:color w:val="auto"/>
              </w:rPr>
              <w:t>投标文件对用户需求有作出响应，符合性一般 得4分。</w:t>
            </w:r>
          </w:p>
          <w:p>
            <w:pPr>
              <w:adjustRightInd w:val="0"/>
              <w:snapToGrid w:val="0"/>
              <w:spacing w:after="60"/>
              <w:ind w:left="-78" w:right="-73"/>
              <w:jc w:val="left"/>
              <w:rPr>
                <w:color w:val="auto"/>
              </w:rPr>
            </w:pPr>
            <w:r>
              <w:rPr>
                <w:rFonts w:hint="eastAsia"/>
                <w:color w:val="auto"/>
              </w:rPr>
              <w:t>不满足上述条件者，得 0 分</w:t>
            </w:r>
          </w:p>
        </w:tc>
        <w:tc>
          <w:tcPr>
            <w:tcW w:w="992" w:type="dxa"/>
            <w:vAlign w:val="center"/>
          </w:tcPr>
          <w:p>
            <w:pPr>
              <w:adjustRightInd w:val="0"/>
              <w:snapToGrid w:val="0"/>
              <w:spacing w:after="60"/>
              <w:ind w:left="-78" w:right="-73"/>
              <w:jc w:val="center"/>
              <w:rPr>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5" w:hRule="atLeast"/>
          <w:jc w:val="center"/>
        </w:trPr>
        <w:tc>
          <w:tcPr>
            <w:tcW w:w="550" w:type="dxa"/>
            <w:vAlign w:val="center"/>
          </w:tcPr>
          <w:p>
            <w:pPr>
              <w:adjustRightInd w:val="0"/>
              <w:snapToGrid w:val="0"/>
              <w:spacing w:after="60"/>
              <w:ind w:left="-78" w:right="-73"/>
              <w:jc w:val="center"/>
              <w:rPr>
                <w:color w:val="auto"/>
              </w:rPr>
            </w:pPr>
            <w:r>
              <w:rPr>
                <w:rFonts w:hint="eastAsia"/>
                <w:color w:val="auto"/>
              </w:rPr>
              <w:t>2</w:t>
            </w:r>
          </w:p>
        </w:tc>
        <w:tc>
          <w:tcPr>
            <w:tcW w:w="1117" w:type="dxa"/>
            <w:vAlign w:val="center"/>
          </w:tcPr>
          <w:p>
            <w:pPr>
              <w:adjustRightInd w:val="0"/>
              <w:snapToGrid w:val="0"/>
              <w:spacing w:after="60"/>
              <w:ind w:left="-78" w:right="-73"/>
              <w:jc w:val="center"/>
              <w:rPr>
                <w:color w:val="auto"/>
              </w:rPr>
            </w:pPr>
            <w:r>
              <w:rPr>
                <w:rFonts w:hint="eastAsia"/>
                <w:color w:val="auto"/>
              </w:rPr>
              <w:t>项目整体实施计划</w:t>
            </w:r>
          </w:p>
        </w:tc>
        <w:tc>
          <w:tcPr>
            <w:tcW w:w="5847" w:type="dxa"/>
            <w:vAlign w:val="center"/>
          </w:tcPr>
          <w:p>
            <w:pPr>
              <w:adjustRightInd w:val="0"/>
              <w:snapToGrid w:val="0"/>
              <w:spacing w:after="60"/>
              <w:ind w:left="-78" w:right="-73"/>
              <w:jc w:val="left"/>
              <w:rPr>
                <w:color w:val="auto"/>
              </w:rPr>
            </w:pPr>
            <w:r>
              <w:rPr>
                <w:rFonts w:hint="eastAsia"/>
                <w:color w:val="auto"/>
              </w:rPr>
              <w:t>投标人对项目整体实施计划完善，各项规章制度</w:t>
            </w:r>
            <w:r>
              <w:rPr>
                <w:rFonts w:hint="eastAsia" w:ascii="仿宋" w:hAnsi="仿宋" w:eastAsia="仿宋" w:cs="仿宋"/>
                <w:color w:val="auto"/>
              </w:rPr>
              <w:t>、</w:t>
            </w:r>
            <w:r>
              <w:rPr>
                <w:rFonts w:hint="eastAsia" w:ascii="宋体" w:hAnsi="宋体" w:cs="宋体"/>
                <w:color w:val="auto"/>
              </w:rPr>
              <w:t>流程</w:t>
            </w:r>
            <w:r>
              <w:rPr>
                <w:rFonts w:hint="eastAsia" w:ascii="仿宋" w:hAnsi="仿宋" w:eastAsia="仿宋" w:cs="仿宋"/>
                <w:color w:val="auto"/>
              </w:rPr>
              <w:t>、</w:t>
            </w:r>
            <w:r>
              <w:rPr>
                <w:rFonts w:hint="eastAsia" w:ascii="宋体" w:hAnsi="宋体" w:cs="宋体"/>
                <w:color w:val="auto"/>
                <w:szCs w:val="21"/>
              </w:rPr>
              <w:t>操作规程等</w:t>
            </w:r>
            <w:r>
              <w:rPr>
                <w:rFonts w:hint="eastAsia"/>
                <w:color w:val="auto"/>
              </w:rPr>
              <w:t>健全 得 5分。</w:t>
            </w:r>
          </w:p>
          <w:p>
            <w:pPr>
              <w:adjustRightInd w:val="0"/>
              <w:snapToGrid w:val="0"/>
              <w:spacing w:after="60"/>
              <w:ind w:left="-78" w:right="-73"/>
              <w:jc w:val="left"/>
              <w:rPr>
                <w:color w:val="auto"/>
              </w:rPr>
            </w:pPr>
            <w:r>
              <w:rPr>
                <w:rFonts w:hint="eastAsia"/>
                <w:color w:val="auto"/>
              </w:rPr>
              <w:t>投标人对项目整体实施计划较完善，各项规章制度</w:t>
            </w:r>
            <w:r>
              <w:rPr>
                <w:rFonts w:hint="eastAsia" w:ascii="仿宋" w:hAnsi="仿宋" w:eastAsia="仿宋" w:cs="仿宋"/>
                <w:color w:val="auto"/>
              </w:rPr>
              <w:t>、</w:t>
            </w:r>
            <w:r>
              <w:rPr>
                <w:rFonts w:hint="eastAsia" w:ascii="宋体" w:hAnsi="宋体" w:cs="宋体"/>
                <w:color w:val="auto"/>
              </w:rPr>
              <w:t>流程</w:t>
            </w:r>
            <w:r>
              <w:rPr>
                <w:rFonts w:hint="eastAsia" w:ascii="仿宋" w:hAnsi="仿宋" w:eastAsia="仿宋" w:cs="仿宋"/>
                <w:color w:val="auto"/>
              </w:rPr>
              <w:t>、</w:t>
            </w:r>
            <w:r>
              <w:rPr>
                <w:rFonts w:hint="eastAsia" w:ascii="宋体" w:hAnsi="宋体" w:cs="宋体"/>
                <w:color w:val="auto"/>
                <w:szCs w:val="21"/>
              </w:rPr>
              <w:t>操作规程等</w:t>
            </w:r>
            <w:r>
              <w:rPr>
                <w:rFonts w:hint="eastAsia"/>
                <w:color w:val="auto"/>
              </w:rPr>
              <w:t>次之 得3 分。</w:t>
            </w:r>
          </w:p>
          <w:p>
            <w:pPr>
              <w:adjustRightInd w:val="0"/>
              <w:snapToGrid w:val="0"/>
              <w:spacing w:after="60"/>
              <w:ind w:left="-78" w:right="-73"/>
              <w:jc w:val="left"/>
              <w:rPr>
                <w:color w:val="auto"/>
              </w:rPr>
            </w:pPr>
            <w:r>
              <w:rPr>
                <w:rFonts w:hint="eastAsia"/>
                <w:color w:val="auto"/>
              </w:rPr>
              <w:t>投标人对项目整体实施计划一般，各项规章制度</w:t>
            </w:r>
            <w:r>
              <w:rPr>
                <w:rFonts w:hint="eastAsia" w:ascii="仿宋" w:hAnsi="仿宋" w:eastAsia="仿宋" w:cs="仿宋"/>
                <w:color w:val="auto"/>
              </w:rPr>
              <w:t>、</w:t>
            </w:r>
            <w:r>
              <w:rPr>
                <w:rFonts w:hint="eastAsia" w:ascii="宋体" w:hAnsi="宋体" w:cs="宋体"/>
                <w:color w:val="auto"/>
              </w:rPr>
              <w:t>流程</w:t>
            </w:r>
            <w:r>
              <w:rPr>
                <w:rFonts w:hint="eastAsia" w:ascii="仿宋" w:hAnsi="仿宋" w:eastAsia="仿宋" w:cs="仿宋"/>
                <w:color w:val="auto"/>
              </w:rPr>
              <w:t>、</w:t>
            </w:r>
            <w:r>
              <w:rPr>
                <w:rFonts w:hint="eastAsia" w:ascii="宋体" w:hAnsi="宋体" w:cs="宋体"/>
                <w:color w:val="auto"/>
                <w:szCs w:val="21"/>
              </w:rPr>
              <w:t>操作规程等</w:t>
            </w:r>
            <w:r>
              <w:rPr>
                <w:rFonts w:hint="eastAsia"/>
                <w:color w:val="auto"/>
              </w:rPr>
              <w:t>一般 得1 分。</w:t>
            </w:r>
          </w:p>
          <w:p>
            <w:pPr>
              <w:adjustRightInd w:val="0"/>
              <w:snapToGrid w:val="0"/>
              <w:spacing w:after="60"/>
              <w:ind w:left="-78" w:right="-73"/>
              <w:jc w:val="left"/>
              <w:rPr>
                <w:color w:val="auto"/>
              </w:rPr>
            </w:pPr>
            <w:r>
              <w:rPr>
                <w:rFonts w:hint="eastAsia"/>
                <w:color w:val="auto"/>
              </w:rPr>
              <w:t>不满足上述条件者，得 0 分</w:t>
            </w:r>
          </w:p>
        </w:tc>
        <w:tc>
          <w:tcPr>
            <w:tcW w:w="992" w:type="dxa"/>
            <w:vAlign w:val="center"/>
          </w:tcPr>
          <w:p>
            <w:pPr>
              <w:adjustRightInd w:val="0"/>
              <w:snapToGrid w:val="0"/>
              <w:spacing w:after="60"/>
              <w:ind w:left="-78" w:right="-73"/>
              <w:jc w:val="cente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4" w:hRule="atLeast"/>
          <w:jc w:val="center"/>
        </w:trPr>
        <w:tc>
          <w:tcPr>
            <w:tcW w:w="550" w:type="dxa"/>
            <w:vAlign w:val="center"/>
          </w:tcPr>
          <w:p>
            <w:pPr>
              <w:adjustRightInd w:val="0"/>
              <w:snapToGrid w:val="0"/>
              <w:spacing w:after="60"/>
              <w:ind w:left="-78" w:right="-73"/>
              <w:jc w:val="center"/>
              <w:rPr>
                <w:color w:val="auto"/>
              </w:rPr>
            </w:pPr>
            <w:r>
              <w:rPr>
                <w:rFonts w:hint="eastAsia"/>
                <w:color w:val="auto"/>
              </w:rPr>
              <w:t>3</w:t>
            </w:r>
          </w:p>
        </w:tc>
        <w:tc>
          <w:tcPr>
            <w:tcW w:w="1117" w:type="dxa"/>
            <w:vAlign w:val="center"/>
          </w:tcPr>
          <w:p>
            <w:pPr>
              <w:jc w:val="center"/>
              <w:rPr>
                <w:color w:val="auto"/>
              </w:rPr>
            </w:pPr>
          </w:p>
          <w:p>
            <w:pPr>
              <w:jc w:val="center"/>
              <w:rPr>
                <w:color w:val="auto"/>
              </w:rPr>
            </w:pPr>
            <w:r>
              <w:rPr>
                <w:rFonts w:hint="eastAsia"/>
                <w:color w:val="auto"/>
              </w:rPr>
              <w:t>应急</w:t>
            </w:r>
          </w:p>
          <w:p>
            <w:pPr>
              <w:jc w:val="center"/>
              <w:rPr>
                <w:color w:val="auto"/>
              </w:rPr>
            </w:pPr>
            <w:r>
              <w:rPr>
                <w:rFonts w:hint="eastAsia"/>
                <w:color w:val="auto"/>
              </w:rPr>
              <w:t>能力</w:t>
            </w:r>
          </w:p>
          <w:p>
            <w:pPr>
              <w:adjustRightInd w:val="0"/>
              <w:snapToGrid w:val="0"/>
              <w:spacing w:after="60"/>
              <w:ind w:left="-78" w:right="-73"/>
              <w:jc w:val="center"/>
              <w:rPr>
                <w:color w:val="auto"/>
              </w:rPr>
            </w:pPr>
          </w:p>
        </w:tc>
        <w:tc>
          <w:tcPr>
            <w:tcW w:w="5847" w:type="dxa"/>
            <w:vAlign w:val="center"/>
          </w:tcPr>
          <w:p>
            <w:pPr>
              <w:adjustRightInd w:val="0"/>
              <w:snapToGrid w:val="0"/>
              <w:spacing w:after="60"/>
              <w:ind w:left="-78" w:right="-73"/>
              <w:jc w:val="left"/>
              <w:rPr>
                <w:color w:val="auto"/>
              </w:rPr>
            </w:pPr>
            <w:r>
              <w:rPr>
                <w:rFonts w:hint="eastAsia"/>
                <w:color w:val="auto"/>
              </w:rPr>
              <w:t>应急服务安排到位，内容详细，切实可行 得5分</w:t>
            </w:r>
          </w:p>
          <w:p>
            <w:pPr>
              <w:adjustRightInd w:val="0"/>
              <w:snapToGrid w:val="0"/>
              <w:spacing w:after="60"/>
              <w:ind w:left="-78" w:right="-73"/>
              <w:jc w:val="left"/>
              <w:rPr>
                <w:color w:val="auto"/>
              </w:rPr>
            </w:pPr>
            <w:r>
              <w:rPr>
                <w:rFonts w:hint="eastAsia"/>
                <w:color w:val="auto"/>
              </w:rPr>
              <w:t>应急服务安排到位，内容较详细，具可行性 得 3 分。</w:t>
            </w:r>
          </w:p>
          <w:p>
            <w:pPr>
              <w:adjustRightInd w:val="0"/>
              <w:snapToGrid w:val="0"/>
              <w:spacing w:after="60"/>
              <w:ind w:left="-78" w:right="-73"/>
              <w:jc w:val="left"/>
              <w:rPr>
                <w:color w:val="auto"/>
              </w:rPr>
            </w:pPr>
            <w:r>
              <w:rPr>
                <w:rFonts w:hint="eastAsia"/>
                <w:color w:val="auto"/>
              </w:rPr>
              <w:t>应急服务安排到位，可行性一般 得1 分。</w:t>
            </w:r>
          </w:p>
          <w:p>
            <w:pPr>
              <w:adjustRightInd w:val="0"/>
              <w:snapToGrid w:val="0"/>
              <w:spacing w:after="60"/>
              <w:ind w:left="-78" w:right="-73"/>
              <w:jc w:val="left"/>
              <w:rPr>
                <w:color w:val="auto"/>
              </w:rPr>
            </w:pPr>
            <w:r>
              <w:rPr>
                <w:rFonts w:hint="eastAsia"/>
                <w:color w:val="auto"/>
              </w:rPr>
              <w:t>不满足上述条件者，得 0分</w:t>
            </w:r>
          </w:p>
          <w:p>
            <w:pPr>
              <w:pStyle w:val="2"/>
              <w:rPr>
                <w:color w:val="auto"/>
              </w:rPr>
            </w:pPr>
            <w:r>
              <w:rPr>
                <w:rFonts w:hint="eastAsia"/>
                <w:color w:val="auto"/>
              </w:rPr>
              <w:t>投标人与其他洗涤企业签有互助合作协议（提供相关协议书复印件并加盖公章）</w:t>
            </w:r>
          </w:p>
        </w:tc>
        <w:tc>
          <w:tcPr>
            <w:tcW w:w="992" w:type="dxa"/>
            <w:vAlign w:val="center"/>
          </w:tcPr>
          <w:p>
            <w:pPr>
              <w:adjustRightInd w:val="0"/>
              <w:snapToGrid w:val="0"/>
              <w:spacing w:after="60"/>
              <w:ind w:left="-78" w:right="-73"/>
              <w:jc w:val="center"/>
              <w:rPr>
                <w:color w:val="auto"/>
              </w:rPr>
            </w:pPr>
            <w:r>
              <w:rPr>
                <w:rFonts w:hint="eastAsia"/>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7" w:hRule="atLeast"/>
          <w:jc w:val="center"/>
        </w:trPr>
        <w:tc>
          <w:tcPr>
            <w:tcW w:w="550" w:type="dxa"/>
            <w:vAlign w:val="center"/>
          </w:tcPr>
          <w:p>
            <w:pPr>
              <w:adjustRightInd w:val="0"/>
              <w:snapToGrid w:val="0"/>
              <w:spacing w:after="60"/>
              <w:ind w:left="-78" w:right="-73"/>
              <w:jc w:val="center"/>
              <w:rPr>
                <w:color w:val="auto"/>
              </w:rPr>
            </w:pPr>
            <w:r>
              <w:rPr>
                <w:rFonts w:hint="eastAsia"/>
                <w:color w:val="auto"/>
              </w:rPr>
              <w:t>4</w:t>
            </w:r>
          </w:p>
        </w:tc>
        <w:tc>
          <w:tcPr>
            <w:tcW w:w="1117" w:type="dxa"/>
            <w:vAlign w:val="center"/>
          </w:tcPr>
          <w:p>
            <w:pPr>
              <w:ind w:right="105"/>
              <w:jc w:val="center"/>
              <w:rPr>
                <w:color w:val="auto"/>
              </w:rPr>
            </w:pPr>
            <w:r>
              <w:rPr>
                <w:rFonts w:hint="eastAsia"/>
                <w:color w:val="auto"/>
              </w:rPr>
              <w:t>客户服务满意度</w:t>
            </w:r>
          </w:p>
          <w:p>
            <w:pPr>
              <w:adjustRightInd w:val="0"/>
              <w:snapToGrid w:val="0"/>
              <w:spacing w:after="60"/>
              <w:ind w:left="-78" w:right="-73"/>
              <w:jc w:val="center"/>
              <w:rPr>
                <w:color w:val="auto"/>
              </w:rPr>
            </w:pPr>
          </w:p>
        </w:tc>
        <w:tc>
          <w:tcPr>
            <w:tcW w:w="5847" w:type="dxa"/>
            <w:vAlign w:val="center"/>
          </w:tcPr>
          <w:p>
            <w:pPr>
              <w:adjustRightInd w:val="0"/>
              <w:snapToGrid w:val="0"/>
              <w:spacing w:after="60"/>
              <w:ind w:left="-78" w:right="-73"/>
              <w:jc w:val="left"/>
              <w:rPr>
                <w:color w:val="auto"/>
              </w:rPr>
            </w:pPr>
            <w:r>
              <w:rPr>
                <w:rFonts w:hint="eastAsia"/>
                <w:color w:val="auto"/>
              </w:rPr>
              <w:t>提供2016-2020年客户满意度评价表（须用户单位盖章）</w:t>
            </w:r>
          </w:p>
          <w:p>
            <w:pPr>
              <w:adjustRightInd w:val="0"/>
              <w:snapToGrid w:val="0"/>
              <w:spacing w:after="60"/>
              <w:ind w:left="-78" w:right="-73"/>
              <w:jc w:val="left"/>
              <w:rPr>
                <w:color w:val="auto"/>
              </w:rPr>
            </w:pPr>
            <w:r>
              <w:rPr>
                <w:rFonts w:hint="eastAsia"/>
                <w:color w:val="auto"/>
              </w:rPr>
              <w:t>每家服务的三级医院评价为满意的得2分；最高得8分；</w:t>
            </w:r>
          </w:p>
          <w:p>
            <w:pPr>
              <w:adjustRightInd w:val="0"/>
              <w:snapToGrid w:val="0"/>
              <w:spacing w:after="60"/>
              <w:ind w:left="-78" w:right="-73"/>
              <w:jc w:val="left"/>
              <w:rPr>
                <w:color w:val="auto"/>
              </w:rPr>
            </w:pPr>
            <w:r>
              <w:rPr>
                <w:rFonts w:hint="eastAsia"/>
                <w:color w:val="auto"/>
              </w:rPr>
              <w:t>每家服务的三级以下医院评价为满意的得0.5分，最高得2分。</w:t>
            </w:r>
          </w:p>
        </w:tc>
        <w:tc>
          <w:tcPr>
            <w:tcW w:w="992" w:type="dxa"/>
            <w:vAlign w:val="center"/>
          </w:tcPr>
          <w:p>
            <w:pPr>
              <w:adjustRightInd w:val="0"/>
              <w:snapToGrid w:val="0"/>
              <w:spacing w:after="60"/>
              <w:ind w:left="-78" w:right="-73"/>
              <w:jc w:val="center"/>
              <w:rPr>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jc w:val="center"/>
        </w:trPr>
        <w:tc>
          <w:tcPr>
            <w:tcW w:w="550" w:type="dxa"/>
            <w:vAlign w:val="center"/>
          </w:tcPr>
          <w:p>
            <w:pPr>
              <w:adjustRightInd w:val="0"/>
              <w:snapToGrid w:val="0"/>
              <w:spacing w:after="60"/>
              <w:ind w:left="-78" w:right="-73"/>
              <w:jc w:val="center"/>
              <w:rPr>
                <w:color w:val="auto"/>
              </w:rPr>
            </w:pPr>
            <w:r>
              <w:rPr>
                <w:rFonts w:hint="eastAsia"/>
                <w:color w:val="auto"/>
              </w:rPr>
              <w:t>5</w:t>
            </w:r>
          </w:p>
          <w:p>
            <w:pPr>
              <w:adjustRightInd w:val="0"/>
              <w:snapToGrid w:val="0"/>
              <w:spacing w:after="60"/>
              <w:ind w:left="-78" w:right="-73"/>
              <w:jc w:val="center"/>
              <w:rPr>
                <w:color w:val="auto"/>
              </w:rPr>
            </w:pPr>
          </w:p>
        </w:tc>
        <w:tc>
          <w:tcPr>
            <w:tcW w:w="1117" w:type="dxa"/>
            <w:vAlign w:val="center"/>
          </w:tcPr>
          <w:p>
            <w:pPr>
              <w:adjustRightInd w:val="0"/>
              <w:snapToGrid w:val="0"/>
              <w:spacing w:after="60"/>
              <w:ind w:left="-78" w:right="-73"/>
              <w:jc w:val="center"/>
              <w:rPr>
                <w:color w:val="auto"/>
              </w:rPr>
            </w:pPr>
            <w:r>
              <w:rPr>
                <w:rFonts w:hint="eastAsia"/>
                <w:color w:val="auto"/>
              </w:rPr>
              <w:t>售后服务</w:t>
            </w:r>
          </w:p>
          <w:p>
            <w:pPr>
              <w:adjustRightInd w:val="0"/>
              <w:snapToGrid w:val="0"/>
              <w:spacing w:after="60"/>
              <w:ind w:left="-78" w:right="-73"/>
              <w:jc w:val="center"/>
              <w:rPr>
                <w:color w:val="auto"/>
              </w:rPr>
            </w:pPr>
          </w:p>
        </w:tc>
        <w:tc>
          <w:tcPr>
            <w:tcW w:w="5847" w:type="dxa"/>
            <w:vAlign w:val="center"/>
          </w:tcPr>
          <w:p>
            <w:pPr>
              <w:adjustRightInd w:val="0"/>
              <w:snapToGrid w:val="0"/>
              <w:spacing w:after="60"/>
              <w:ind w:left="-78" w:right="-73"/>
              <w:jc w:val="left"/>
              <w:rPr>
                <w:color w:val="auto"/>
              </w:rPr>
            </w:pPr>
            <w:r>
              <w:rPr>
                <w:rFonts w:hint="eastAsia"/>
                <w:color w:val="auto"/>
              </w:rPr>
              <w:t>售后服务在半小时内，并能证明其可行性的 得10分。</w:t>
            </w:r>
          </w:p>
          <w:p>
            <w:pPr>
              <w:adjustRightInd w:val="0"/>
              <w:snapToGrid w:val="0"/>
              <w:spacing w:after="60"/>
              <w:ind w:left="-78" w:right="-73"/>
              <w:jc w:val="left"/>
              <w:rPr>
                <w:color w:val="auto"/>
              </w:rPr>
            </w:pPr>
            <w:r>
              <w:rPr>
                <w:rFonts w:hint="eastAsia"/>
                <w:color w:val="auto"/>
              </w:rPr>
              <w:t>售后服务在半小时至一小时（含一小时），并能证明其可行性的 得7分</w:t>
            </w:r>
          </w:p>
          <w:p>
            <w:pPr>
              <w:adjustRightInd w:val="0"/>
              <w:snapToGrid w:val="0"/>
              <w:spacing w:after="60"/>
              <w:ind w:left="-78" w:right="-73"/>
              <w:jc w:val="left"/>
              <w:rPr>
                <w:color w:val="auto"/>
              </w:rPr>
            </w:pPr>
            <w:r>
              <w:rPr>
                <w:rFonts w:hint="eastAsia"/>
                <w:color w:val="auto"/>
              </w:rPr>
              <w:t>售后服务超过一小时（不含一小时）得4分。</w:t>
            </w:r>
          </w:p>
          <w:p>
            <w:pPr>
              <w:adjustRightInd w:val="0"/>
              <w:snapToGrid w:val="0"/>
              <w:spacing w:after="60"/>
              <w:ind w:left="-78" w:right="-73"/>
              <w:jc w:val="left"/>
              <w:rPr>
                <w:color w:val="auto"/>
              </w:rPr>
            </w:pPr>
            <w:r>
              <w:rPr>
                <w:rFonts w:hint="eastAsia"/>
                <w:color w:val="auto"/>
              </w:rPr>
              <w:t>差：不满足上述条件者，得 0 分。</w:t>
            </w:r>
          </w:p>
        </w:tc>
        <w:tc>
          <w:tcPr>
            <w:tcW w:w="992" w:type="dxa"/>
            <w:vAlign w:val="center"/>
          </w:tcPr>
          <w:p>
            <w:pPr>
              <w:adjustRightInd w:val="0"/>
              <w:snapToGrid w:val="0"/>
              <w:spacing w:after="60"/>
              <w:ind w:left="-78" w:right="-73"/>
              <w:jc w:val="center"/>
              <w:rPr>
                <w:color w:val="auto"/>
              </w:rPr>
            </w:pPr>
            <w:r>
              <w:rPr>
                <w:rFonts w:hint="eastAsia"/>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7514" w:type="dxa"/>
            <w:gridSpan w:val="3"/>
            <w:vAlign w:val="center"/>
          </w:tcPr>
          <w:p>
            <w:pPr>
              <w:adjustRightInd w:val="0"/>
              <w:snapToGrid w:val="0"/>
              <w:spacing w:after="60"/>
              <w:ind w:left="-78" w:right="-73"/>
              <w:jc w:val="center"/>
              <w:rPr>
                <w:color w:val="auto"/>
              </w:rPr>
            </w:pPr>
            <w:r>
              <w:rPr>
                <w:rFonts w:hint="eastAsia"/>
                <w:color w:val="auto"/>
              </w:rPr>
              <w:t>合计</w:t>
            </w:r>
          </w:p>
        </w:tc>
        <w:tc>
          <w:tcPr>
            <w:tcW w:w="992" w:type="dxa"/>
            <w:vAlign w:val="center"/>
          </w:tcPr>
          <w:p>
            <w:pPr>
              <w:adjustRightInd w:val="0"/>
              <w:snapToGrid w:val="0"/>
              <w:spacing w:after="60"/>
              <w:ind w:left="-78" w:right="-73"/>
              <w:jc w:val="center"/>
              <w:rPr>
                <w:color w:val="auto"/>
              </w:rPr>
            </w:pPr>
            <w:r>
              <w:rPr>
                <w:rFonts w:hint="eastAsia"/>
                <w:color w:val="auto"/>
              </w:rPr>
              <w:t>40</w:t>
            </w:r>
          </w:p>
        </w:tc>
      </w:tr>
    </w:tbl>
    <w:p>
      <w:pPr>
        <w:spacing w:line="400" w:lineRule="exact"/>
        <w:rPr>
          <w:rFonts w:ascii="宋体" w:hAnsi="宋体"/>
          <w:b/>
          <w:bCs/>
          <w:color w:val="auto"/>
          <w:sz w:val="28"/>
        </w:rPr>
      </w:pPr>
      <w:r>
        <w:rPr>
          <w:color w:val="auto"/>
        </w:rPr>
        <w:br w:type="page"/>
      </w:r>
      <w:r>
        <w:rPr>
          <w:rFonts w:hint="eastAsia" w:ascii="宋体" w:hAnsi="宋体"/>
          <w:b/>
          <w:bCs/>
          <w:color w:val="auto"/>
          <w:sz w:val="28"/>
        </w:rPr>
        <w:t>附表三：</w:t>
      </w:r>
    </w:p>
    <w:p>
      <w:pPr>
        <w:spacing w:beforeLines="50" w:afterLines="50" w:line="400" w:lineRule="exact"/>
        <w:jc w:val="center"/>
        <w:rPr>
          <w:rFonts w:ascii="宋体" w:hAnsi="宋体"/>
          <w:b/>
          <w:bCs/>
          <w:color w:val="auto"/>
          <w:szCs w:val="21"/>
        </w:rPr>
      </w:pPr>
      <w:r>
        <w:rPr>
          <w:rFonts w:hint="eastAsia" w:ascii="宋体" w:hAnsi="宋体"/>
          <w:b/>
          <w:bCs/>
          <w:color w:val="auto"/>
          <w:sz w:val="28"/>
        </w:rPr>
        <w:t>商务评审表</w:t>
      </w:r>
    </w:p>
    <w:tbl>
      <w:tblPr>
        <w:tblStyle w:val="37"/>
        <w:tblW w:w="85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062"/>
        <w:gridCol w:w="5766"/>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 w:hRule="atLeast"/>
          <w:jc w:val="center"/>
        </w:trPr>
        <w:tc>
          <w:tcPr>
            <w:tcW w:w="539" w:type="dxa"/>
          </w:tcPr>
          <w:p>
            <w:pPr>
              <w:jc w:val="center"/>
              <w:rPr>
                <w:rFonts w:ascii="宋体" w:hAnsi="宋体"/>
                <w:color w:val="auto"/>
                <w:szCs w:val="21"/>
              </w:rPr>
            </w:pPr>
            <w:r>
              <w:rPr>
                <w:rFonts w:hint="eastAsia" w:ascii="宋体" w:hAnsi="宋体"/>
                <w:color w:val="auto"/>
                <w:szCs w:val="21"/>
              </w:rPr>
              <w:t>序号</w:t>
            </w:r>
          </w:p>
        </w:tc>
        <w:tc>
          <w:tcPr>
            <w:tcW w:w="1062" w:type="dxa"/>
            <w:vAlign w:val="center"/>
          </w:tcPr>
          <w:p>
            <w:pPr>
              <w:jc w:val="center"/>
              <w:rPr>
                <w:rFonts w:ascii="宋体" w:hAnsi="宋体"/>
                <w:color w:val="auto"/>
                <w:szCs w:val="21"/>
              </w:rPr>
            </w:pPr>
            <w:r>
              <w:rPr>
                <w:rFonts w:hint="eastAsia" w:ascii="宋体" w:hAnsi="宋体"/>
                <w:color w:val="auto"/>
                <w:szCs w:val="21"/>
              </w:rPr>
              <w:t>评分项目</w:t>
            </w:r>
          </w:p>
        </w:tc>
        <w:tc>
          <w:tcPr>
            <w:tcW w:w="5766" w:type="dxa"/>
            <w:vAlign w:val="center"/>
          </w:tcPr>
          <w:p>
            <w:pPr>
              <w:jc w:val="center"/>
              <w:rPr>
                <w:rFonts w:ascii="宋体" w:hAnsi="宋体"/>
                <w:color w:val="auto"/>
                <w:szCs w:val="21"/>
              </w:rPr>
            </w:pPr>
            <w:r>
              <w:rPr>
                <w:rFonts w:hint="eastAsia" w:ascii="宋体" w:hAnsi="宋体"/>
                <w:color w:val="auto"/>
                <w:szCs w:val="21"/>
              </w:rPr>
              <w:t>评分细则</w:t>
            </w:r>
          </w:p>
        </w:tc>
        <w:tc>
          <w:tcPr>
            <w:tcW w:w="1164" w:type="dxa"/>
            <w:vAlign w:val="center"/>
          </w:tcPr>
          <w:p>
            <w:pPr>
              <w:jc w:val="center"/>
              <w:rPr>
                <w:rFonts w:ascii="宋体" w:hAnsi="宋体"/>
                <w:color w:val="auto"/>
                <w:szCs w:val="21"/>
              </w:rPr>
            </w:pPr>
            <w:r>
              <w:rPr>
                <w:rFonts w:hint="eastAsia" w:ascii="宋体" w:hAnsi="宋体"/>
                <w:color w:val="auto"/>
                <w:szCs w:val="21"/>
              </w:rPr>
              <w:t>单项分数/权重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3" w:hRule="atLeast"/>
          <w:jc w:val="center"/>
        </w:trPr>
        <w:tc>
          <w:tcPr>
            <w:tcW w:w="539"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062" w:type="dxa"/>
            <w:vAlign w:val="center"/>
          </w:tcPr>
          <w:p>
            <w:pPr>
              <w:rPr>
                <w:rFonts w:ascii="宋体" w:hAnsi="宋体" w:cs="宋体"/>
                <w:color w:val="auto"/>
                <w:szCs w:val="21"/>
              </w:rPr>
            </w:pPr>
            <w:r>
              <w:rPr>
                <w:rFonts w:hint="eastAsia" w:ascii="宋体" w:hAnsi="宋体" w:cs="宋体"/>
                <w:color w:val="auto"/>
                <w:szCs w:val="21"/>
              </w:rPr>
              <w:t>企业体系认证</w:t>
            </w:r>
          </w:p>
        </w:tc>
        <w:tc>
          <w:tcPr>
            <w:tcW w:w="5766" w:type="dxa"/>
            <w:vAlign w:val="center"/>
          </w:tcPr>
          <w:p>
            <w:pPr>
              <w:rPr>
                <w:rFonts w:ascii="宋体" w:hAnsi="宋体" w:cs="宋体"/>
                <w:color w:val="auto"/>
                <w:szCs w:val="21"/>
              </w:rPr>
            </w:pPr>
            <w:r>
              <w:rPr>
                <w:rFonts w:hint="eastAsia" w:ascii="宋体" w:hAnsi="宋体" w:cs="宋体"/>
                <w:color w:val="auto"/>
                <w:szCs w:val="21"/>
              </w:rPr>
              <w:t>1.获得质量管理体系认证证书，得3分；</w:t>
            </w:r>
          </w:p>
          <w:p>
            <w:pPr>
              <w:rPr>
                <w:rFonts w:ascii="宋体" w:hAnsi="宋体" w:cs="宋体"/>
                <w:color w:val="auto"/>
                <w:szCs w:val="21"/>
              </w:rPr>
            </w:pPr>
            <w:r>
              <w:rPr>
                <w:rFonts w:hint="eastAsia" w:ascii="宋体" w:hAnsi="宋体" w:cs="宋体"/>
                <w:color w:val="auto"/>
                <w:szCs w:val="21"/>
              </w:rPr>
              <w:t>2.获得环境管理体系认证证书，得3分；</w:t>
            </w:r>
          </w:p>
          <w:p>
            <w:pPr>
              <w:rPr>
                <w:rFonts w:hint="eastAsia" w:ascii="宋体" w:hAnsi="宋体" w:cs="宋体"/>
                <w:color w:val="auto"/>
                <w:szCs w:val="21"/>
                <w:lang w:eastAsia="zh-CN"/>
              </w:rPr>
            </w:pPr>
            <w:r>
              <w:rPr>
                <w:rFonts w:hint="eastAsia" w:ascii="宋体" w:hAnsi="宋体" w:cs="宋体"/>
                <w:color w:val="auto"/>
                <w:szCs w:val="21"/>
              </w:rPr>
              <w:t>3.获得职业健康安全管理体系认证证书，得3分</w:t>
            </w:r>
            <w:r>
              <w:rPr>
                <w:rFonts w:hint="eastAsia" w:ascii="宋体" w:hAnsi="宋体" w:cs="宋体"/>
                <w:color w:val="auto"/>
                <w:szCs w:val="21"/>
                <w:lang w:eastAsia="zh-CN"/>
              </w:rPr>
              <w:t>；</w:t>
            </w:r>
          </w:p>
          <w:p>
            <w:pPr>
              <w:rPr>
                <w:rFonts w:ascii="宋体" w:hAnsi="宋体" w:cs="宋体"/>
                <w:color w:val="auto"/>
                <w:szCs w:val="21"/>
              </w:rPr>
            </w:pPr>
            <w:r>
              <w:rPr>
                <w:rFonts w:hint="eastAsia" w:ascii="宋体" w:hAnsi="宋体" w:cs="宋体"/>
                <w:color w:val="auto"/>
                <w:szCs w:val="21"/>
              </w:rPr>
              <w:t>不提供不得分</w:t>
            </w:r>
            <w:r>
              <w:rPr>
                <w:rFonts w:hint="eastAsia" w:ascii="宋体" w:hAnsi="宋体" w:cs="宋体"/>
                <w:color w:val="auto"/>
                <w:szCs w:val="21"/>
                <w:lang w:eastAsia="zh-CN"/>
              </w:rPr>
              <w:t>。</w:t>
            </w:r>
            <w:r>
              <w:rPr>
                <w:rFonts w:hint="eastAsia" w:ascii="宋体" w:hAnsi="宋体" w:cs="宋体"/>
                <w:color w:val="auto"/>
                <w:szCs w:val="21"/>
              </w:rPr>
              <w:t>（</w:t>
            </w:r>
            <w:r>
              <w:rPr>
                <w:rFonts w:hint="eastAsia" w:ascii="宋体" w:hAnsi="宋体" w:cs="宋体"/>
                <w:color w:val="auto"/>
                <w:szCs w:val="21"/>
                <w:lang w:val="en-US" w:eastAsia="zh-CN"/>
              </w:rPr>
              <w:t>须</w:t>
            </w:r>
            <w:r>
              <w:rPr>
                <w:rFonts w:hint="eastAsia" w:ascii="宋体" w:hAnsi="宋体" w:cs="宋体"/>
                <w:color w:val="auto"/>
                <w:szCs w:val="21"/>
              </w:rPr>
              <w:t>提供证书复印件并加盖公章作为评审材料，原件备查</w:t>
            </w:r>
            <w:r>
              <w:rPr>
                <w:rFonts w:hint="eastAsia" w:ascii="宋体" w:hAnsi="宋体" w:cs="宋体"/>
                <w:color w:val="auto"/>
                <w:szCs w:val="21"/>
                <w:lang w:eastAsia="zh-CN"/>
              </w:rPr>
              <w:t>。</w:t>
            </w:r>
            <w:r>
              <w:rPr>
                <w:rFonts w:hint="eastAsia" w:ascii="宋体" w:hAnsi="宋体" w:cs="宋体"/>
                <w:color w:val="auto"/>
                <w:szCs w:val="21"/>
              </w:rPr>
              <w:t>）</w:t>
            </w:r>
          </w:p>
        </w:tc>
        <w:tc>
          <w:tcPr>
            <w:tcW w:w="1164" w:type="dxa"/>
            <w:vAlign w:val="center"/>
          </w:tcPr>
          <w:p>
            <w:pPr>
              <w:jc w:val="center"/>
              <w:rPr>
                <w:rFonts w:ascii="宋体" w:hAnsi="宋体" w:cs="宋体"/>
                <w:color w:val="auto"/>
                <w:szCs w:val="21"/>
              </w:rPr>
            </w:pPr>
            <w:r>
              <w:rPr>
                <w:rFonts w:hint="eastAsia" w:ascii="宋体" w:hAnsi="宋体" w:cs="宋体"/>
                <w:color w:val="auto"/>
                <w:szCs w:val="21"/>
              </w:rPr>
              <w:t xml:space="preserve">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3" w:hRule="atLeast"/>
          <w:jc w:val="center"/>
        </w:trPr>
        <w:tc>
          <w:tcPr>
            <w:tcW w:w="539"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062" w:type="dxa"/>
            <w:vAlign w:val="center"/>
          </w:tcPr>
          <w:p>
            <w:pPr>
              <w:rPr>
                <w:rFonts w:ascii="宋体" w:hAnsi="宋体" w:cs="宋体"/>
                <w:color w:val="auto"/>
                <w:szCs w:val="21"/>
              </w:rPr>
            </w:pPr>
            <w:r>
              <w:rPr>
                <w:rFonts w:hint="eastAsia" w:ascii="宋体" w:hAnsi="宋体" w:cs="宋体"/>
                <w:color w:val="auto"/>
                <w:szCs w:val="21"/>
              </w:rPr>
              <w:t>同类项目</w:t>
            </w:r>
          </w:p>
          <w:p>
            <w:pPr>
              <w:rPr>
                <w:rFonts w:ascii="宋体" w:hAnsi="宋体" w:cs="宋体"/>
                <w:color w:val="auto"/>
                <w:szCs w:val="21"/>
              </w:rPr>
            </w:pPr>
            <w:r>
              <w:rPr>
                <w:rFonts w:hint="eastAsia" w:ascii="宋体" w:hAnsi="宋体" w:cs="宋体"/>
                <w:color w:val="auto"/>
                <w:szCs w:val="21"/>
              </w:rPr>
              <w:t>业绩</w:t>
            </w:r>
          </w:p>
        </w:tc>
        <w:tc>
          <w:tcPr>
            <w:tcW w:w="5766" w:type="dxa"/>
            <w:vAlign w:val="center"/>
          </w:tcPr>
          <w:p>
            <w:pPr>
              <w:rPr>
                <w:rFonts w:hint="eastAsia" w:ascii="宋体" w:hAnsi="宋体" w:cs="宋体"/>
                <w:color w:val="auto"/>
                <w:szCs w:val="21"/>
              </w:rPr>
            </w:pPr>
            <w:r>
              <w:rPr>
                <w:rFonts w:hint="eastAsia" w:ascii="宋体" w:hAnsi="宋体" w:cs="宋体"/>
                <w:color w:val="auto"/>
                <w:szCs w:val="21"/>
              </w:rPr>
              <w:t>2017年以来同类服务项目业绩，每项目为2分</w:t>
            </w:r>
            <w:r>
              <w:rPr>
                <w:rFonts w:hint="eastAsia" w:ascii="宋体" w:hAnsi="宋体" w:cs="宋体"/>
                <w:color w:val="auto"/>
                <w:szCs w:val="21"/>
                <w:lang w:eastAsia="zh-CN"/>
              </w:rPr>
              <w:t>，</w:t>
            </w:r>
            <w:r>
              <w:rPr>
                <w:rFonts w:hint="eastAsia" w:ascii="宋体" w:hAnsi="宋体" w:cs="宋体"/>
                <w:color w:val="auto"/>
                <w:szCs w:val="21"/>
                <w:lang w:val="en-US" w:eastAsia="zh-CN"/>
              </w:rPr>
              <w:t>不提供不得分。</w:t>
            </w:r>
            <w:r>
              <w:rPr>
                <w:rFonts w:hint="eastAsia" w:ascii="宋体" w:hAnsi="宋体" w:cs="宋体"/>
                <w:color w:val="auto"/>
                <w:szCs w:val="21"/>
              </w:rPr>
              <w:t>（须提供合同复印件，如合同过期仍在执行中的，须提供税务系统出示的年度发票汇总表并加盖投标人公章）</w:t>
            </w:r>
          </w:p>
        </w:tc>
        <w:tc>
          <w:tcPr>
            <w:tcW w:w="1164" w:type="dxa"/>
            <w:vAlign w:val="center"/>
          </w:tcPr>
          <w:p>
            <w:pPr>
              <w:jc w:val="center"/>
              <w:rPr>
                <w:rFonts w:ascii="宋体" w:hAnsi="宋体" w:cs="宋体"/>
                <w:color w:val="auto"/>
                <w:szCs w:val="21"/>
              </w:rPr>
            </w:pPr>
            <w:r>
              <w:rPr>
                <w:rFonts w:hint="eastAsia" w:ascii="宋体" w:hAnsi="宋体" w:cs="宋体"/>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4" w:hRule="atLeast"/>
          <w:jc w:val="center"/>
        </w:trPr>
        <w:tc>
          <w:tcPr>
            <w:tcW w:w="539"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062" w:type="dxa"/>
            <w:vAlign w:val="center"/>
          </w:tcPr>
          <w:p>
            <w:pPr>
              <w:jc w:val="center"/>
              <w:rPr>
                <w:color w:val="auto"/>
              </w:rPr>
            </w:pPr>
            <w:r>
              <w:rPr>
                <w:rFonts w:hint="eastAsia"/>
                <w:color w:val="auto"/>
              </w:rPr>
              <w:t>生产设备</w:t>
            </w:r>
          </w:p>
        </w:tc>
        <w:tc>
          <w:tcPr>
            <w:tcW w:w="5766" w:type="dxa"/>
            <w:vAlign w:val="center"/>
          </w:tcPr>
          <w:p>
            <w:pPr>
              <w:rPr>
                <w:rFonts w:hint="eastAsia" w:ascii="宋体" w:hAnsi="宋体" w:cs="宋体"/>
                <w:color w:val="auto"/>
                <w:szCs w:val="21"/>
              </w:rPr>
            </w:pPr>
            <w:r>
              <w:rPr>
                <w:rFonts w:hint="eastAsia" w:ascii="宋体" w:hAnsi="宋体" w:cs="宋体"/>
                <w:color w:val="auto"/>
                <w:szCs w:val="21"/>
              </w:rPr>
              <w:t>满足招标文件要求（洗衣机数量5台，烘干机数量5台）的基础上，以上每增加一台设备加1分，最高得5分，</w:t>
            </w:r>
            <w:r>
              <w:rPr>
                <w:rFonts w:hint="eastAsia" w:ascii="宋体" w:hAnsi="宋体" w:cs="宋体"/>
                <w:color w:val="auto"/>
                <w:szCs w:val="21"/>
                <w:lang w:val="en-US" w:eastAsia="zh-CN"/>
              </w:rPr>
              <w:t>未提供不得分。（需</w:t>
            </w:r>
            <w:r>
              <w:rPr>
                <w:rFonts w:hint="eastAsia" w:ascii="宋体" w:hAnsi="宋体" w:cs="宋体"/>
                <w:color w:val="auto"/>
                <w:szCs w:val="21"/>
              </w:rPr>
              <w:t>提供购买设备的发票复印件</w:t>
            </w:r>
            <w:r>
              <w:rPr>
                <w:rFonts w:hint="eastAsia" w:ascii="宋体" w:hAnsi="宋体" w:cs="宋体"/>
                <w:color w:val="auto"/>
                <w:szCs w:val="21"/>
                <w:lang w:eastAsia="zh-CN"/>
              </w:rPr>
              <w:t>，</w:t>
            </w:r>
            <w:r>
              <w:rPr>
                <w:rFonts w:hint="eastAsia" w:ascii="宋体" w:hAnsi="宋体" w:cs="宋体"/>
                <w:color w:val="auto"/>
                <w:szCs w:val="21"/>
              </w:rPr>
              <w:t>发票须具备单位名称或有效授权人名称）</w:t>
            </w:r>
            <w:r>
              <w:rPr>
                <w:rFonts w:hint="eastAsia" w:ascii="宋体" w:hAnsi="宋体" w:cs="宋体"/>
                <w:color w:val="auto"/>
                <w:szCs w:val="21"/>
                <w:lang w:eastAsia="zh-CN"/>
              </w:rPr>
              <w:t>。</w:t>
            </w:r>
          </w:p>
        </w:tc>
        <w:tc>
          <w:tcPr>
            <w:tcW w:w="1164" w:type="dxa"/>
            <w:vAlign w:val="center"/>
          </w:tcPr>
          <w:p>
            <w:pPr>
              <w:spacing w:line="300" w:lineRule="exact"/>
              <w:jc w:val="center"/>
              <w:rPr>
                <w:rFonts w:ascii="宋体" w:hAnsi="宋体"/>
                <w:color w:val="auto"/>
                <w:szCs w:val="21"/>
              </w:rPr>
            </w:pPr>
            <w:r>
              <w:rPr>
                <w:rFonts w:hint="eastAsia" w:ascii="宋体" w:hAnsi="宋体"/>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0" w:hRule="atLeast"/>
          <w:jc w:val="center"/>
        </w:trPr>
        <w:tc>
          <w:tcPr>
            <w:tcW w:w="539" w:type="dxa"/>
            <w:vAlign w:val="center"/>
          </w:tcPr>
          <w:p>
            <w:pPr>
              <w:spacing w:line="360" w:lineRule="auto"/>
              <w:jc w:val="center"/>
              <w:rPr>
                <w:rFonts w:ascii="宋体" w:hAnsi="宋体"/>
                <w:color w:val="auto"/>
                <w:szCs w:val="21"/>
              </w:rPr>
            </w:pPr>
            <w:r>
              <w:rPr>
                <w:rFonts w:hint="eastAsia" w:ascii="宋体" w:hAnsi="宋体"/>
                <w:color w:val="auto"/>
                <w:szCs w:val="21"/>
              </w:rPr>
              <w:t>4</w:t>
            </w:r>
          </w:p>
        </w:tc>
        <w:tc>
          <w:tcPr>
            <w:tcW w:w="1062" w:type="dxa"/>
            <w:vAlign w:val="center"/>
          </w:tcPr>
          <w:p>
            <w:pPr>
              <w:jc w:val="center"/>
              <w:rPr>
                <w:color w:val="auto"/>
              </w:rPr>
            </w:pPr>
            <w:r>
              <w:rPr>
                <w:rFonts w:hint="eastAsia"/>
                <w:color w:val="auto"/>
              </w:rPr>
              <w:t>具有固定生产场所</w:t>
            </w:r>
          </w:p>
        </w:tc>
        <w:tc>
          <w:tcPr>
            <w:tcW w:w="5766" w:type="dxa"/>
            <w:vAlign w:val="center"/>
          </w:tcPr>
          <w:p>
            <w:pPr>
              <w:jc w:val="both"/>
              <w:rPr>
                <w:color w:val="auto"/>
              </w:rPr>
            </w:pPr>
            <w:r>
              <w:rPr>
                <w:rFonts w:hint="eastAsia"/>
                <w:color w:val="auto"/>
              </w:rPr>
              <w:t>生产厂房房产持有或租赁面积</w:t>
            </w:r>
            <w:r>
              <w:rPr>
                <w:rFonts w:hint="eastAsia" w:ascii="宋体" w:hAnsi="宋体"/>
                <w:color w:val="auto"/>
              </w:rPr>
              <w:t>≥</w:t>
            </w:r>
            <w:r>
              <w:rPr>
                <w:rFonts w:hint="eastAsia"/>
                <w:color w:val="auto"/>
              </w:rPr>
              <w:t>5000平方米或以上的，得8分；</w:t>
            </w:r>
          </w:p>
          <w:p>
            <w:pPr>
              <w:jc w:val="center"/>
              <w:rPr>
                <w:color w:val="auto"/>
              </w:rPr>
            </w:pPr>
            <w:r>
              <w:rPr>
                <w:rFonts w:hint="eastAsia"/>
                <w:color w:val="auto"/>
              </w:rPr>
              <w:t>生产厂房房产持有或租赁面积3</w:t>
            </w:r>
            <w:r>
              <w:rPr>
                <w:color w:val="auto"/>
              </w:rPr>
              <w:t>000-</w:t>
            </w:r>
            <w:r>
              <w:rPr>
                <w:rFonts w:hint="eastAsia"/>
                <w:color w:val="auto"/>
              </w:rPr>
              <w:t>4999平方米的，得4分；</w:t>
            </w:r>
          </w:p>
          <w:p>
            <w:pPr>
              <w:jc w:val="center"/>
              <w:rPr>
                <w:rFonts w:hint="eastAsia"/>
                <w:color w:val="auto"/>
              </w:rPr>
            </w:pPr>
            <w:r>
              <w:rPr>
                <w:rFonts w:hint="eastAsia"/>
                <w:color w:val="auto"/>
              </w:rPr>
              <w:t>生产厂房房产持有或租赁面积3000平方米以下的，得1分。</w:t>
            </w:r>
          </w:p>
          <w:p>
            <w:pPr>
              <w:jc w:val="both"/>
              <w:rPr>
                <w:color w:val="auto"/>
              </w:rPr>
            </w:pPr>
            <w:r>
              <w:rPr>
                <w:rFonts w:hint="eastAsia"/>
                <w:color w:val="auto"/>
              </w:rPr>
              <w:t>（须提供相关房产持有或租赁有效期证明，房产证或租赁合同复印件</w:t>
            </w:r>
            <w:r>
              <w:rPr>
                <w:rFonts w:hint="eastAsia"/>
                <w:color w:val="auto"/>
                <w:lang w:eastAsia="zh-CN"/>
              </w:rPr>
              <w:t>，</w:t>
            </w:r>
            <w:r>
              <w:rPr>
                <w:rFonts w:hint="eastAsia"/>
                <w:color w:val="auto"/>
                <w:lang w:val="en-US" w:eastAsia="zh-CN"/>
              </w:rPr>
              <w:t>未提供不得分。</w:t>
            </w:r>
            <w:r>
              <w:rPr>
                <w:rFonts w:hint="eastAsia"/>
                <w:color w:val="auto"/>
              </w:rPr>
              <w:t>）</w:t>
            </w:r>
          </w:p>
        </w:tc>
        <w:tc>
          <w:tcPr>
            <w:tcW w:w="1164" w:type="dxa"/>
            <w:vAlign w:val="center"/>
          </w:tcPr>
          <w:p>
            <w:pPr>
              <w:spacing w:line="300" w:lineRule="exact"/>
              <w:jc w:val="center"/>
              <w:rPr>
                <w:rFonts w:ascii="宋体" w:hAnsi="宋体"/>
                <w:color w:val="auto"/>
                <w:szCs w:val="21"/>
              </w:rPr>
            </w:pPr>
            <w:r>
              <w:rPr>
                <w:rFonts w:hint="eastAsia" w:ascii="宋体" w:hAnsi="宋体"/>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5" w:hRule="atLeast"/>
          <w:jc w:val="center"/>
        </w:trPr>
        <w:tc>
          <w:tcPr>
            <w:tcW w:w="539" w:type="dxa"/>
            <w:vAlign w:val="center"/>
          </w:tcPr>
          <w:p>
            <w:pPr>
              <w:spacing w:line="360" w:lineRule="auto"/>
              <w:jc w:val="center"/>
              <w:rPr>
                <w:rFonts w:ascii="宋体" w:hAnsi="宋体"/>
                <w:color w:val="auto"/>
                <w:szCs w:val="21"/>
              </w:rPr>
            </w:pPr>
            <w:r>
              <w:rPr>
                <w:rFonts w:hint="eastAsia" w:ascii="宋体" w:hAnsi="宋体"/>
                <w:color w:val="auto"/>
                <w:szCs w:val="21"/>
              </w:rPr>
              <w:t>5</w:t>
            </w:r>
          </w:p>
        </w:tc>
        <w:tc>
          <w:tcPr>
            <w:tcW w:w="1062" w:type="dxa"/>
            <w:vAlign w:val="center"/>
          </w:tcPr>
          <w:p>
            <w:pPr>
              <w:jc w:val="center"/>
              <w:rPr>
                <w:color w:val="auto"/>
              </w:rPr>
            </w:pPr>
            <w:r>
              <w:rPr>
                <w:rFonts w:hint="eastAsia"/>
                <w:color w:val="auto"/>
              </w:rPr>
              <w:t xml:space="preserve">财务状况 </w:t>
            </w:r>
            <w:r>
              <w:rPr>
                <w:color w:val="auto"/>
              </w:rPr>
              <w:t xml:space="preserve"> </w:t>
            </w:r>
          </w:p>
        </w:tc>
        <w:tc>
          <w:tcPr>
            <w:tcW w:w="5766" w:type="dxa"/>
            <w:vAlign w:val="center"/>
          </w:tcPr>
          <w:p>
            <w:pPr>
              <w:jc w:val="both"/>
              <w:rPr>
                <w:color w:val="auto"/>
              </w:rPr>
            </w:pPr>
            <w:r>
              <w:rPr>
                <w:rFonts w:hint="eastAsia"/>
                <w:color w:val="auto"/>
              </w:rPr>
              <w:t>投标人最近20</w:t>
            </w:r>
            <w:r>
              <w:rPr>
                <w:rFonts w:hint="eastAsia"/>
                <w:color w:val="auto"/>
                <w:lang w:val="en-US" w:eastAsia="zh-CN"/>
              </w:rPr>
              <w:t>17</w:t>
            </w:r>
            <w:r>
              <w:rPr>
                <w:rFonts w:hint="eastAsia"/>
                <w:color w:val="auto"/>
              </w:rPr>
              <w:t>、20</w:t>
            </w:r>
            <w:r>
              <w:rPr>
                <w:rFonts w:hint="eastAsia"/>
                <w:color w:val="auto"/>
                <w:lang w:val="en-US" w:eastAsia="zh-CN"/>
              </w:rPr>
              <w:t>18</w:t>
            </w:r>
            <w:r>
              <w:rPr>
                <w:rFonts w:hint="eastAsia"/>
                <w:color w:val="auto"/>
              </w:rPr>
              <w:t>年的</w:t>
            </w:r>
            <w:r>
              <w:rPr>
                <w:rFonts w:hint="eastAsia"/>
                <w:color w:val="auto"/>
                <w:lang w:eastAsia="zh-CN"/>
              </w:rPr>
              <w:t>，</w:t>
            </w:r>
            <w:r>
              <w:rPr>
                <w:rFonts w:hint="eastAsia"/>
                <w:color w:val="auto"/>
              </w:rPr>
              <w:t>连续2年财务状况为盈利的，得2分，否则不得分</w:t>
            </w:r>
            <w:r>
              <w:rPr>
                <w:rFonts w:hint="eastAsia"/>
                <w:color w:val="auto"/>
                <w:lang w:eastAsia="zh-CN"/>
              </w:rPr>
              <w:t>。</w:t>
            </w:r>
            <w:r>
              <w:rPr>
                <w:rFonts w:hint="eastAsia"/>
                <w:color w:val="auto"/>
              </w:rPr>
              <w:t>(以会计师事务所出具的审计报告为准</w:t>
            </w:r>
            <w:r>
              <w:rPr>
                <w:rFonts w:hint="eastAsia"/>
                <w:color w:val="auto"/>
                <w:lang w:eastAsia="zh-CN"/>
              </w:rPr>
              <w:t>，</w:t>
            </w:r>
            <w:r>
              <w:rPr>
                <w:rFonts w:hint="eastAsia"/>
                <w:color w:val="auto"/>
                <w:lang w:val="en-US" w:eastAsia="zh-CN"/>
              </w:rPr>
              <w:t>未提供不得分。</w:t>
            </w:r>
            <w:r>
              <w:rPr>
                <w:rFonts w:hint="eastAsia"/>
                <w:color w:val="auto"/>
              </w:rPr>
              <w:t>)</w:t>
            </w:r>
          </w:p>
        </w:tc>
        <w:tc>
          <w:tcPr>
            <w:tcW w:w="1164" w:type="dxa"/>
            <w:vAlign w:val="center"/>
          </w:tcPr>
          <w:p>
            <w:pPr>
              <w:spacing w:line="300" w:lineRule="exact"/>
              <w:jc w:val="center"/>
              <w:rPr>
                <w:rFonts w:ascii="宋体" w:hAnsi="宋体"/>
                <w:color w:val="auto"/>
                <w:szCs w:val="21"/>
              </w:rPr>
            </w:pPr>
            <w:r>
              <w:rPr>
                <w:rFonts w:hint="eastAsia" w:ascii="宋体" w:hAnsi="宋体"/>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9" w:hRule="atLeast"/>
          <w:jc w:val="center"/>
        </w:trPr>
        <w:tc>
          <w:tcPr>
            <w:tcW w:w="539" w:type="dxa"/>
            <w:vAlign w:val="center"/>
          </w:tcPr>
          <w:p>
            <w:pPr>
              <w:spacing w:line="360" w:lineRule="auto"/>
              <w:jc w:val="center"/>
              <w:rPr>
                <w:rFonts w:ascii="宋体" w:hAnsi="宋体"/>
                <w:color w:val="auto"/>
                <w:szCs w:val="21"/>
              </w:rPr>
            </w:pPr>
            <w:r>
              <w:rPr>
                <w:rFonts w:hint="eastAsia" w:ascii="宋体" w:hAnsi="宋体"/>
                <w:color w:val="auto"/>
                <w:szCs w:val="21"/>
              </w:rPr>
              <w:t>6</w:t>
            </w:r>
          </w:p>
        </w:tc>
        <w:tc>
          <w:tcPr>
            <w:tcW w:w="1062" w:type="dxa"/>
            <w:vAlign w:val="center"/>
          </w:tcPr>
          <w:p>
            <w:pPr>
              <w:jc w:val="center"/>
              <w:rPr>
                <w:color w:val="auto"/>
              </w:rPr>
            </w:pPr>
            <w:r>
              <w:rPr>
                <w:rFonts w:hint="eastAsia"/>
                <w:color w:val="auto"/>
              </w:rPr>
              <w:t>安全生产标准化合格</w:t>
            </w:r>
          </w:p>
        </w:tc>
        <w:tc>
          <w:tcPr>
            <w:tcW w:w="5766" w:type="dxa"/>
            <w:vAlign w:val="center"/>
          </w:tcPr>
          <w:p>
            <w:pPr>
              <w:jc w:val="both"/>
              <w:rPr>
                <w:color w:val="auto"/>
              </w:rPr>
            </w:pPr>
            <w:r>
              <w:rPr>
                <w:rFonts w:hint="eastAsia"/>
                <w:color w:val="auto"/>
              </w:rPr>
              <w:t>须提供证书复印件并加盖公章</w:t>
            </w:r>
            <w:r>
              <w:rPr>
                <w:rFonts w:hint="eastAsia"/>
                <w:color w:val="auto"/>
                <w:lang w:val="en-US" w:eastAsia="zh-CN"/>
              </w:rPr>
              <w:t>得2分</w:t>
            </w:r>
            <w:r>
              <w:rPr>
                <w:rFonts w:hint="eastAsia"/>
                <w:color w:val="auto"/>
                <w:lang w:eastAsia="zh-CN"/>
              </w:rPr>
              <w:t>，</w:t>
            </w:r>
            <w:r>
              <w:rPr>
                <w:rFonts w:hint="eastAsia"/>
                <w:color w:val="auto"/>
                <w:lang w:val="en-US" w:eastAsia="zh-CN"/>
              </w:rPr>
              <w:t>未提供不得分。</w:t>
            </w:r>
          </w:p>
        </w:tc>
        <w:tc>
          <w:tcPr>
            <w:tcW w:w="1164" w:type="dxa"/>
            <w:vAlign w:val="center"/>
          </w:tcPr>
          <w:p>
            <w:pPr>
              <w:jc w:val="center"/>
              <w:rPr>
                <w:color w:val="auto"/>
              </w:rPr>
            </w:pPr>
            <w:r>
              <w:rPr>
                <w:rFonts w:hint="eastAsia"/>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9" w:hRule="atLeast"/>
          <w:jc w:val="center"/>
        </w:trPr>
        <w:tc>
          <w:tcPr>
            <w:tcW w:w="539" w:type="dxa"/>
            <w:vAlign w:val="center"/>
          </w:tcPr>
          <w:p>
            <w:pPr>
              <w:spacing w:line="360" w:lineRule="auto"/>
              <w:jc w:val="center"/>
              <w:rPr>
                <w:rFonts w:ascii="宋体" w:hAnsi="宋体"/>
                <w:color w:val="auto"/>
                <w:szCs w:val="21"/>
              </w:rPr>
            </w:pPr>
            <w:r>
              <w:rPr>
                <w:rFonts w:hint="eastAsia" w:ascii="宋体" w:hAnsi="宋体"/>
                <w:color w:val="auto"/>
                <w:szCs w:val="21"/>
              </w:rPr>
              <w:t>7</w:t>
            </w:r>
          </w:p>
        </w:tc>
        <w:tc>
          <w:tcPr>
            <w:tcW w:w="1062" w:type="dxa"/>
            <w:vAlign w:val="center"/>
          </w:tcPr>
          <w:p>
            <w:pPr>
              <w:jc w:val="center"/>
              <w:rPr>
                <w:color w:val="auto"/>
              </w:rPr>
            </w:pPr>
            <w:r>
              <w:rPr>
                <w:rFonts w:hint="eastAsia"/>
                <w:color w:val="auto"/>
              </w:rPr>
              <w:t>衣物</w:t>
            </w:r>
            <w:r>
              <w:rPr>
                <w:rFonts w:hint="eastAsia" w:ascii="仿宋" w:hAnsi="仿宋" w:eastAsia="仿宋" w:cs="仿宋"/>
                <w:color w:val="auto"/>
              </w:rPr>
              <w:t>、</w:t>
            </w:r>
            <w:r>
              <w:rPr>
                <w:rFonts w:hint="eastAsia"/>
                <w:color w:val="auto"/>
              </w:rPr>
              <w:t>被服检测</w:t>
            </w:r>
          </w:p>
        </w:tc>
        <w:tc>
          <w:tcPr>
            <w:tcW w:w="5766" w:type="dxa"/>
            <w:vAlign w:val="center"/>
          </w:tcPr>
          <w:p>
            <w:pPr>
              <w:jc w:val="both"/>
              <w:rPr>
                <w:color w:val="auto"/>
              </w:rPr>
            </w:pPr>
            <w:r>
              <w:rPr>
                <w:rFonts w:hint="eastAsia"/>
                <w:color w:val="auto"/>
              </w:rPr>
              <w:t>提供近2018、2019年符合佛山市质量计量监督检测中心的检测报告，每提供一年得2分，不提供不得分</w:t>
            </w:r>
            <w:r>
              <w:rPr>
                <w:rFonts w:hint="eastAsia"/>
                <w:color w:val="auto"/>
                <w:lang w:eastAsia="zh-CN"/>
              </w:rPr>
              <w:t>。</w:t>
            </w:r>
          </w:p>
        </w:tc>
        <w:tc>
          <w:tcPr>
            <w:tcW w:w="1164" w:type="dxa"/>
            <w:vAlign w:val="center"/>
          </w:tcPr>
          <w:p>
            <w:pPr>
              <w:jc w:val="center"/>
              <w:rPr>
                <w:color w:val="auto"/>
              </w:rPr>
            </w:pPr>
            <w:r>
              <w:rPr>
                <w:rFonts w:hint="eastAsia"/>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3" w:hRule="atLeast"/>
          <w:jc w:val="center"/>
        </w:trPr>
        <w:tc>
          <w:tcPr>
            <w:tcW w:w="7367" w:type="dxa"/>
            <w:gridSpan w:val="3"/>
            <w:vAlign w:val="center"/>
          </w:tcPr>
          <w:p>
            <w:pPr>
              <w:adjustRightInd w:val="0"/>
              <w:snapToGrid w:val="0"/>
              <w:ind w:left="-78" w:right="-73"/>
              <w:jc w:val="center"/>
              <w:rPr>
                <w:color w:val="auto"/>
                <w:szCs w:val="21"/>
                <w:shd w:val="clear" w:color="auto" w:fill="FFFFFF"/>
                <w:lang w:val="en-GB"/>
              </w:rPr>
            </w:pPr>
            <w:r>
              <w:rPr>
                <w:rFonts w:hint="eastAsia"/>
                <w:color w:val="auto"/>
                <w:szCs w:val="21"/>
                <w:shd w:val="clear" w:color="auto" w:fill="FFFFFF"/>
                <w:lang w:val="en-GB"/>
              </w:rPr>
              <w:t>合计</w:t>
            </w:r>
          </w:p>
        </w:tc>
        <w:tc>
          <w:tcPr>
            <w:tcW w:w="1164" w:type="dxa"/>
            <w:vAlign w:val="center"/>
          </w:tcPr>
          <w:p>
            <w:pPr>
              <w:spacing w:line="360" w:lineRule="auto"/>
              <w:jc w:val="center"/>
              <w:rPr>
                <w:rFonts w:ascii="宋体" w:hAnsi="宋体"/>
                <w:color w:val="auto"/>
                <w:szCs w:val="21"/>
              </w:rPr>
            </w:pPr>
            <w:r>
              <w:rPr>
                <w:rFonts w:hint="eastAsia" w:ascii="宋体" w:hAnsi="宋体"/>
                <w:color w:val="auto"/>
                <w:szCs w:val="21"/>
              </w:rPr>
              <w:t>40</w:t>
            </w:r>
          </w:p>
        </w:tc>
      </w:tr>
    </w:tbl>
    <w:p>
      <w:pPr>
        <w:tabs>
          <w:tab w:val="left" w:pos="8085"/>
        </w:tabs>
        <w:spacing w:line="400" w:lineRule="exact"/>
        <w:rPr>
          <w:rFonts w:ascii="宋体" w:hAnsi="宋体"/>
          <w:b/>
          <w:bCs/>
          <w:color w:val="auto"/>
          <w:sz w:val="28"/>
        </w:rPr>
      </w:pPr>
      <w:r>
        <w:rPr>
          <w:color w:val="auto"/>
        </w:rPr>
        <w:br w:type="page"/>
      </w:r>
      <w:r>
        <w:rPr>
          <w:rFonts w:hint="eastAsia" w:ascii="宋体" w:hAnsi="宋体"/>
          <w:b/>
          <w:bCs/>
          <w:color w:val="auto"/>
          <w:sz w:val="28"/>
        </w:rPr>
        <w:t>附表四：</w:t>
      </w:r>
      <w:r>
        <w:rPr>
          <w:rFonts w:ascii="宋体" w:hAnsi="宋体"/>
          <w:b/>
          <w:bCs/>
          <w:color w:val="auto"/>
          <w:sz w:val="28"/>
        </w:rPr>
        <w:tab/>
      </w:r>
    </w:p>
    <w:p>
      <w:pPr>
        <w:spacing w:beforeLines="50" w:afterLines="50" w:line="400" w:lineRule="exact"/>
        <w:jc w:val="center"/>
        <w:rPr>
          <w:rFonts w:ascii="宋体" w:hAnsi="宋体"/>
          <w:b/>
          <w:bCs/>
          <w:color w:val="auto"/>
          <w:sz w:val="28"/>
        </w:rPr>
      </w:pPr>
      <w:r>
        <w:rPr>
          <w:rFonts w:hint="eastAsia" w:ascii="宋体" w:hAnsi="宋体"/>
          <w:b/>
          <w:bCs/>
          <w:color w:val="auto"/>
          <w:sz w:val="28"/>
        </w:rPr>
        <w:t>价格评审表</w:t>
      </w:r>
    </w:p>
    <w:tbl>
      <w:tblPr>
        <w:tblStyle w:val="37"/>
        <w:tblW w:w="8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993"/>
        <w:gridCol w:w="1559"/>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trHeight w:val="680" w:hRule="atLeast"/>
          <w:jc w:val="center"/>
        </w:trPr>
        <w:tc>
          <w:tcPr>
            <w:tcW w:w="993" w:type="dxa"/>
            <w:vAlign w:val="center"/>
          </w:tcPr>
          <w:p>
            <w:pPr>
              <w:autoSpaceDE w:val="0"/>
              <w:autoSpaceDN w:val="0"/>
              <w:adjustRightInd w:val="0"/>
              <w:spacing w:line="276" w:lineRule="auto"/>
              <w:jc w:val="center"/>
              <w:rPr>
                <w:rFonts w:ascii="宋体" w:hAnsi="宋体" w:cs="宋体"/>
                <w:b/>
                <w:color w:val="auto"/>
                <w:kern w:val="0"/>
                <w:szCs w:val="21"/>
              </w:rPr>
            </w:pPr>
            <w:r>
              <w:rPr>
                <w:rFonts w:hint="eastAsia" w:ascii="宋体" w:hAnsi="宋体" w:cs="宋体"/>
                <w:b/>
                <w:color w:val="auto"/>
                <w:kern w:val="0"/>
                <w:szCs w:val="21"/>
              </w:rPr>
              <w:t>序号</w:t>
            </w:r>
          </w:p>
        </w:tc>
        <w:tc>
          <w:tcPr>
            <w:tcW w:w="1559" w:type="dxa"/>
            <w:vAlign w:val="center"/>
          </w:tcPr>
          <w:p>
            <w:pPr>
              <w:autoSpaceDE w:val="0"/>
              <w:autoSpaceDN w:val="0"/>
              <w:adjustRightInd w:val="0"/>
              <w:spacing w:line="276" w:lineRule="auto"/>
              <w:jc w:val="center"/>
              <w:rPr>
                <w:rFonts w:ascii="宋体" w:hAnsi="宋体" w:cs="宋体"/>
                <w:b/>
                <w:color w:val="auto"/>
                <w:kern w:val="0"/>
                <w:szCs w:val="21"/>
              </w:rPr>
            </w:pPr>
            <w:r>
              <w:rPr>
                <w:rFonts w:hint="eastAsia" w:ascii="宋体" w:hAnsi="宋体" w:cs="宋体"/>
                <w:b/>
                <w:color w:val="auto"/>
                <w:kern w:val="0"/>
                <w:szCs w:val="21"/>
              </w:rPr>
              <w:t>评审项目</w:t>
            </w:r>
          </w:p>
        </w:tc>
        <w:tc>
          <w:tcPr>
            <w:tcW w:w="6236" w:type="dxa"/>
            <w:vAlign w:val="center"/>
          </w:tcPr>
          <w:p>
            <w:pPr>
              <w:autoSpaceDE w:val="0"/>
              <w:autoSpaceDN w:val="0"/>
              <w:adjustRightInd w:val="0"/>
              <w:spacing w:line="276" w:lineRule="auto"/>
              <w:jc w:val="center"/>
              <w:rPr>
                <w:rFonts w:ascii="宋体" w:hAnsi="宋体" w:cs="宋体"/>
                <w:b/>
                <w:color w:val="auto"/>
                <w:kern w:val="0"/>
                <w:szCs w:val="21"/>
              </w:rPr>
            </w:pPr>
            <w:r>
              <w:rPr>
                <w:rFonts w:hint="eastAsia" w:ascii="宋体" w:hAnsi="宋体" w:cs="宋体"/>
                <w:b/>
                <w:color w:val="auto"/>
                <w:kern w:val="0"/>
                <w:szCs w:val="21"/>
              </w:rPr>
              <w:t>评议内容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Ex>
        <w:trPr>
          <w:trHeight w:val="2390" w:hRule="atLeast"/>
          <w:jc w:val="center"/>
        </w:trPr>
        <w:tc>
          <w:tcPr>
            <w:tcW w:w="993" w:type="dxa"/>
            <w:vAlign w:val="center"/>
          </w:tcPr>
          <w:p>
            <w:pPr>
              <w:autoSpaceDE w:val="0"/>
              <w:autoSpaceDN w:val="0"/>
              <w:adjustRightInd w:val="0"/>
              <w:spacing w:line="276" w:lineRule="auto"/>
              <w:jc w:val="center"/>
              <w:rPr>
                <w:rFonts w:ascii="宋体" w:hAnsi="宋体" w:cs="宋体"/>
                <w:color w:val="auto"/>
                <w:kern w:val="0"/>
                <w:szCs w:val="21"/>
              </w:rPr>
            </w:pPr>
            <w:r>
              <w:rPr>
                <w:rFonts w:ascii="宋体" w:hAnsi="宋体" w:cs="宋体"/>
                <w:color w:val="auto"/>
                <w:kern w:val="0"/>
                <w:szCs w:val="21"/>
              </w:rPr>
              <w:t>1</w:t>
            </w:r>
          </w:p>
        </w:tc>
        <w:tc>
          <w:tcPr>
            <w:tcW w:w="1559" w:type="dxa"/>
            <w:vAlign w:val="center"/>
          </w:tcPr>
          <w:p>
            <w:pPr>
              <w:autoSpaceDE w:val="0"/>
              <w:autoSpaceDN w:val="0"/>
              <w:adjustRightInd w:val="0"/>
              <w:spacing w:line="276" w:lineRule="auto"/>
              <w:jc w:val="center"/>
              <w:rPr>
                <w:rFonts w:ascii="宋体" w:hAnsi="宋体" w:cs="宋体"/>
                <w:color w:val="auto"/>
                <w:kern w:val="0"/>
                <w:szCs w:val="21"/>
              </w:rPr>
            </w:pPr>
            <w:r>
              <w:rPr>
                <w:rFonts w:hint="eastAsia" w:ascii="宋体" w:hAnsi="宋体" w:cs="宋体"/>
                <w:color w:val="auto"/>
                <w:kern w:val="0"/>
                <w:szCs w:val="21"/>
              </w:rPr>
              <w:t xml:space="preserve">价格（20分）    </w:t>
            </w:r>
          </w:p>
        </w:tc>
        <w:tc>
          <w:tcPr>
            <w:tcW w:w="6236" w:type="dxa"/>
            <w:vAlign w:val="center"/>
          </w:tcPr>
          <w:p>
            <w:pPr>
              <w:autoSpaceDE w:val="0"/>
              <w:autoSpaceDN w:val="0"/>
              <w:adjustRightInd w:val="0"/>
              <w:spacing w:line="360" w:lineRule="auto"/>
              <w:ind w:left="-3574" w:leftChars="-1702" w:firstLine="3543" w:firstLineChars="1687"/>
              <w:jc w:val="center"/>
              <w:rPr>
                <w:rFonts w:ascii="宋体" w:hAnsi="宋体" w:cs="宋体"/>
                <w:color w:val="auto"/>
              </w:rPr>
            </w:pPr>
            <w:r>
              <w:rPr>
                <w:rFonts w:hint="eastAsia" w:ascii="宋体" w:hAnsi="宋体" w:cs="宋体"/>
                <w:color w:val="auto"/>
              </w:rPr>
              <w:t>（1）投标报价超过采购预算的，投标无效，未超过采购预算的投标报价按以下公式进行计算。</w:t>
            </w:r>
          </w:p>
          <w:p>
            <w:pPr>
              <w:spacing w:line="320" w:lineRule="exact"/>
              <w:ind w:left="-265" w:leftChars="-126" w:firstLine="234"/>
              <w:jc w:val="center"/>
              <w:rPr>
                <w:rFonts w:ascii="宋体" w:hAnsi="宋体" w:cs="宋体"/>
                <w:color w:val="auto"/>
                <w:szCs w:val="28"/>
              </w:rPr>
            </w:pPr>
            <w:r>
              <w:rPr>
                <w:rFonts w:hint="eastAsia" w:ascii="宋体" w:hAnsi="宋体" w:cs="宋体"/>
                <w:color w:val="auto"/>
              </w:rPr>
              <w:t>（2）满足招标文件要求且投标下浮率最高的投标报价为评标基准价</w:t>
            </w:r>
            <w:r>
              <w:rPr>
                <w:rFonts w:hint="eastAsia" w:ascii="宋体" w:hAnsi="宋体" w:cs="宋体"/>
                <w:color w:val="auto"/>
                <w:szCs w:val="28"/>
              </w:rPr>
              <w:t>，其价格分为满分。其他投标人的报价分统一按下列公式折算递减。即：</w:t>
            </w:r>
          </w:p>
          <w:p>
            <w:pPr>
              <w:spacing w:line="320" w:lineRule="exact"/>
              <w:jc w:val="center"/>
              <w:rPr>
                <w:rFonts w:ascii="宋体" w:hAnsi="宋体" w:cs="宋体"/>
                <w:color w:val="auto"/>
                <w:szCs w:val="28"/>
              </w:rPr>
            </w:pPr>
            <w:r>
              <w:rPr>
                <w:rFonts w:hint="eastAsia" w:ascii="宋体" w:hAnsi="宋体" w:cs="宋体"/>
                <w:color w:val="auto"/>
                <w:szCs w:val="28"/>
              </w:rPr>
              <w:t>评标基准</w:t>
            </w:r>
            <w:r>
              <w:rPr>
                <w:rFonts w:hint="eastAsia"/>
                <w:color w:val="auto"/>
              </w:rPr>
              <w:t>下浮率</w:t>
            </w:r>
            <w:r>
              <w:rPr>
                <w:rFonts w:ascii="宋体" w:hAnsi="宋体" w:cs="宋体"/>
                <w:color w:val="auto"/>
                <w:szCs w:val="28"/>
              </w:rPr>
              <w:t xml:space="preserve">= </w:t>
            </w:r>
            <w:r>
              <w:rPr>
                <w:rFonts w:hint="eastAsia" w:ascii="宋体" w:hAnsi="宋体" w:cs="宋体"/>
                <w:color w:val="auto"/>
                <w:szCs w:val="28"/>
              </w:rPr>
              <w:t>有效最高下浮率</w:t>
            </w:r>
            <w:r>
              <w:rPr>
                <w:rFonts w:ascii="宋体" w:hAnsi="宋体" w:cs="宋体"/>
                <w:color w:val="auto"/>
                <w:szCs w:val="28"/>
              </w:rPr>
              <w:t xml:space="preserve"> = </w:t>
            </w:r>
            <w:r>
              <w:rPr>
                <w:rFonts w:hint="eastAsia" w:ascii="宋体" w:hAnsi="宋体" w:cs="宋体"/>
                <w:color w:val="auto"/>
                <w:szCs w:val="28"/>
              </w:rPr>
              <w:t>满20分</w:t>
            </w:r>
          </w:p>
          <w:p>
            <w:pPr>
              <w:autoSpaceDE w:val="0"/>
              <w:autoSpaceDN w:val="0"/>
              <w:adjustRightInd w:val="0"/>
              <w:spacing w:line="276" w:lineRule="auto"/>
              <w:ind w:firstLine="160" w:firstLineChars="76"/>
              <w:jc w:val="left"/>
              <w:rPr>
                <w:rFonts w:ascii="宋体" w:hAnsi="宋体"/>
                <w:color w:val="auto"/>
                <w:szCs w:val="21"/>
              </w:rPr>
            </w:pPr>
            <w:r>
              <w:rPr>
                <w:rFonts w:hint="eastAsia" w:cs="宋体"/>
                <w:color w:val="auto"/>
                <w:szCs w:val="28"/>
              </w:rPr>
              <w:t>其他申请人的报价得分</w:t>
            </w:r>
            <w:r>
              <w:rPr>
                <w:rFonts w:cs="宋体"/>
                <w:color w:val="auto"/>
                <w:szCs w:val="28"/>
              </w:rPr>
              <w:t xml:space="preserve"> = {</w:t>
            </w:r>
            <w:r>
              <w:rPr>
                <w:rFonts w:hint="eastAsia" w:cs="宋体"/>
                <w:color w:val="auto"/>
                <w:szCs w:val="28"/>
              </w:rPr>
              <w:t>（1-评标基准</w:t>
            </w:r>
            <w:r>
              <w:rPr>
                <w:rFonts w:hint="eastAsia"/>
                <w:color w:val="auto"/>
              </w:rPr>
              <w:t>下浮率</w:t>
            </w:r>
            <w:r>
              <w:rPr>
                <w:rFonts w:hint="eastAsia" w:cs="宋体"/>
                <w:color w:val="auto"/>
                <w:szCs w:val="28"/>
              </w:rPr>
              <w:t>）</w:t>
            </w:r>
            <w:r>
              <w:rPr>
                <w:rFonts w:cs="宋体"/>
                <w:color w:val="auto"/>
                <w:szCs w:val="28"/>
              </w:rPr>
              <w:t>÷（1-</w:t>
            </w:r>
            <w:r>
              <w:rPr>
                <w:rFonts w:hint="eastAsia" w:cs="宋体"/>
                <w:color w:val="auto"/>
                <w:szCs w:val="28"/>
              </w:rPr>
              <w:t>有效</w:t>
            </w:r>
            <w:r>
              <w:rPr>
                <w:rFonts w:hint="eastAsia"/>
                <w:color w:val="auto"/>
              </w:rPr>
              <w:t>下浮率）</w:t>
            </w:r>
            <w:r>
              <w:rPr>
                <w:rFonts w:cs="宋体"/>
                <w:color w:val="auto"/>
                <w:szCs w:val="28"/>
              </w:rPr>
              <w:t>}</w:t>
            </w:r>
            <w:r>
              <w:rPr>
                <w:rFonts w:hint="eastAsia" w:cs="宋体"/>
                <w:color w:val="auto"/>
                <w:szCs w:val="28"/>
              </w:rPr>
              <w:t>x价格权值</w:t>
            </w:r>
            <w:r>
              <w:rPr>
                <w:rFonts w:cs="宋体"/>
                <w:color w:val="auto"/>
                <w:szCs w:val="28"/>
              </w:rPr>
              <w:t>×</w:t>
            </w:r>
            <w:r>
              <w:rPr>
                <w:rFonts w:hint="eastAsia" w:cs="宋体"/>
                <w:color w:val="auto"/>
                <w:szCs w:val="28"/>
              </w:rPr>
              <w:t>100</w:t>
            </w:r>
          </w:p>
        </w:tc>
      </w:tr>
    </w:tbl>
    <w:p>
      <w:pPr>
        <w:spacing w:line="360" w:lineRule="auto"/>
        <w:rPr>
          <w:color w:val="auto"/>
        </w:rPr>
      </w:pPr>
      <w:r>
        <w:rPr>
          <w:color w:val="auto"/>
        </w:rPr>
        <w:br w:type="page"/>
      </w:r>
    </w:p>
    <w:p>
      <w:pPr>
        <w:spacing w:line="400" w:lineRule="exact"/>
        <w:jc w:val="center"/>
        <w:rPr>
          <w:b/>
          <w:color w:val="auto"/>
          <w:sz w:val="32"/>
          <w:szCs w:val="32"/>
        </w:rPr>
      </w:pPr>
      <w:r>
        <w:rPr>
          <w:rFonts w:hint="eastAsia"/>
          <w:b/>
          <w:color w:val="auto"/>
          <w:sz w:val="32"/>
          <w:szCs w:val="32"/>
        </w:rPr>
        <w:t>第五章 合同文本</w:t>
      </w:r>
      <w:bookmarkEnd w:id="198"/>
    </w:p>
    <w:p>
      <w:pPr>
        <w:adjustRightInd w:val="0"/>
        <w:snapToGrid w:val="0"/>
        <w:spacing w:line="360" w:lineRule="auto"/>
        <w:jc w:val="center"/>
        <w:rPr>
          <w:rFonts w:ascii="宋体" w:hAnsi="宋体"/>
          <w:b/>
          <w:color w:val="auto"/>
          <w:spacing w:val="200"/>
          <w:sz w:val="72"/>
          <w:szCs w:val="72"/>
        </w:rPr>
      </w:pPr>
      <w:bookmarkStart w:id="199" w:name="_Hlt109815959"/>
      <w:bookmarkEnd w:id="199"/>
    </w:p>
    <w:p>
      <w:pPr>
        <w:adjustRightInd w:val="0"/>
        <w:snapToGrid w:val="0"/>
        <w:spacing w:line="360" w:lineRule="auto"/>
        <w:jc w:val="center"/>
        <w:rPr>
          <w:rFonts w:ascii="宋体" w:hAnsi="宋体"/>
          <w:b/>
          <w:color w:val="auto"/>
          <w:spacing w:val="200"/>
          <w:sz w:val="72"/>
          <w:szCs w:val="72"/>
        </w:rPr>
      </w:pPr>
    </w:p>
    <w:p>
      <w:pPr>
        <w:tabs>
          <w:tab w:val="left" w:pos="720"/>
        </w:tabs>
        <w:spacing w:line="360" w:lineRule="auto"/>
        <w:jc w:val="center"/>
        <w:rPr>
          <w:rFonts w:ascii="仿宋_GB2312" w:hAnsi="仿宋" w:eastAsia="仿宋_GB2312"/>
          <w:b/>
          <w:color w:val="auto"/>
          <w:sz w:val="72"/>
          <w:szCs w:val="72"/>
        </w:rPr>
      </w:pPr>
      <w:bookmarkStart w:id="200" w:name="_Toc307826682"/>
      <w:bookmarkStart w:id="201" w:name="_Toc469663684"/>
      <w:bookmarkStart w:id="202" w:name="_Toc15004"/>
      <w:bookmarkStart w:id="203" w:name="_Toc108597123"/>
      <w:bookmarkStart w:id="204" w:name="_Toc307826053"/>
      <w:r>
        <w:rPr>
          <w:rFonts w:hint="eastAsia" w:ascii="仿宋_GB2312" w:hAnsi="仿宋" w:eastAsia="仿宋_GB2312"/>
          <w:b/>
          <w:color w:val="auto"/>
          <w:sz w:val="72"/>
          <w:szCs w:val="72"/>
        </w:rPr>
        <w:t>合 同 书</w:t>
      </w:r>
    </w:p>
    <w:p>
      <w:pPr>
        <w:tabs>
          <w:tab w:val="left" w:pos="720"/>
        </w:tabs>
        <w:spacing w:line="360" w:lineRule="auto"/>
        <w:rPr>
          <w:rFonts w:ascii="仿宋_GB2312" w:hAnsi="仿宋" w:eastAsia="仿宋_GB2312"/>
          <w:b/>
          <w:color w:val="auto"/>
          <w:sz w:val="28"/>
          <w:szCs w:val="28"/>
        </w:rPr>
      </w:pPr>
    </w:p>
    <w:tbl>
      <w:tblPr>
        <w:tblStyle w:val="37"/>
        <w:tblW w:w="6740" w:type="dxa"/>
        <w:jc w:val="center"/>
        <w:tblInd w:w="0" w:type="dxa"/>
        <w:tblLayout w:type="fixed"/>
        <w:tblCellMar>
          <w:top w:w="0" w:type="dxa"/>
          <w:left w:w="108" w:type="dxa"/>
          <w:bottom w:w="0" w:type="dxa"/>
          <w:right w:w="108" w:type="dxa"/>
        </w:tblCellMar>
      </w:tblPr>
      <w:tblGrid>
        <w:gridCol w:w="6740"/>
      </w:tblGrid>
      <w:tr>
        <w:tblPrEx>
          <w:tblLayout w:type="fixed"/>
          <w:tblCellMar>
            <w:top w:w="0" w:type="dxa"/>
            <w:left w:w="108" w:type="dxa"/>
            <w:bottom w:w="0" w:type="dxa"/>
            <w:right w:w="108" w:type="dxa"/>
          </w:tblCellMar>
        </w:tblPrEx>
        <w:trPr>
          <w:trHeight w:val="446" w:hRule="atLeast"/>
          <w:jc w:val="center"/>
        </w:trPr>
        <w:tc>
          <w:tcPr>
            <w:tcW w:w="6740" w:type="dxa"/>
          </w:tcPr>
          <w:p>
            <w:pPr>
              <w:tabs>
                <w:tab w:val="left" w:pos="720"/>
              </w:tabs>
              <w:spacing w:line="360" w:lineRule="auto"/>
              <w:rPr>
                <w:rFonts w:ascii="仿宋_GB2312" w:hAnsi="仿宋" w:eastAsia="仿宋_GB2312"/>
                <w:b/>
                <w:color w:val="auto"/>
                <w:sz w:val="28"/>
                <w:szCs w:val="28"/>
                <w:u w:val="single"/>
              </w:rPr>
            </w:pPr>
            <w:r>
              <w:rPr>
                <w:rFonts w:hint="eastAsia" w:ascii="仿宋_GB2312" w:hAnsi="仿宋" w:eastAsia="仿宋_GB2312"/>
                <w:b/>
                <w:color w:val="auto"/>
                <w:sz w:val="28"/>
                <w:szCs w:val="28"/>
              </w:rPr>
              <w:t>项目编号：</w:t>
            </w:r>
            <w:r>
              <w:rPr>
                <w:rFonts w:hint="eastAsia"/>
                <w:color w:val="auto"/>
                <w:sz w:val="28"/>
                <w:szCs w:val="28"/>
                <w:u w:val="single"/>
              </w:rPr>
              <w:t>XZ20200401</w:t>
            </w:r>
          </w:p>
        </w:tc>
      </w:tr>
      <w:tr>
        <w:tblPrEx>
          <w:tblLayout w:type="fixed"/>
          <w:tblCellMar>
            <w:top w:w="0" w:type="dxa"/>
            <w:left w:w="108" w:type="dxa"/>
            <w:bottom w:w="0" w:type="dxa"/>
            <w:right w:w="108" w:type="dxa"/>
          </w:tblCellMar>
        </w:tblPrEx>
        <w:trPr>
          <w:trHeight w:val="446" w:hRule="atLeast"/>
          <w:jc w:val="center"/>
        </w:trPr>
        <w:tc>
          <w:tcPr>
            <w:tcW w:w="6740" w:type="dxa"/>
          </w:tcPr>
          <w:p>
            <w:pPr>
              <w:tabs>
                <w:tab w:val="left" w:pos="720"/>
              </w:tabs>
              <w:spacing w:line="360" w:lineRule="auto"/>
              <w:rPr>
                <w:rFonts w:ascii="仿宋_GB2312" w:hAnsi="仿宋" w:eastAsia="仿宋_GB2312"/>
                <w:b/>
                <w:color w:val="auto"/>
                <w:sz w:val="28"/>
                <w:szCs w:val="28"/>
                <w:u w:val="single"/>
              </w:rPr>
            </w:pPr>
          </w:p>
        </w:tc>
      </w:tr>
      <w:tr>
        <w:tblPrEx>
          <w:tblLayout w:type="fixed"/>
          <w:tblCellMar>
            <w:top w:w="0" w:type="dxa"/>
            <w:left w:w="108" w:type="dxa"/>
            <w:bottom w:w="0" w:type="dxa"/>
            <w:right w:w="108" w:type="dxa"/>
          </w:tblCellMar>
        </w:tblPrEx>
        <w:trPr>
          <w:trHeight w:val="446" w:hRule="atLeast"/>
          <w:jc w:val="center"/>
        </w:trPr>
        <w:tc>
          <w:tcPr>
            <w:tcW w:w="6740" w:type="dxa"/>
          </w:tcPr>
          <w:p>
            <w:pPr>
              <w:tabs>
                <w:tab w:val="left" w:pos="720"/>
              </w:tabs>
              <w:spacing w:line="360" w:lineRule="auto"/>
              <w:rPr>
                <w:rFonts w:ascii="仿宋_GB2312" w:hAnsi="仿宋" w:eastAsia="仿宋_GB2312"/>
                <w:b/>
                <w:color w:val="auto"/>
                <w:sz w:val="28"/>
                <w:szCs w:val="28"/>
              </w:rPr>
            </w:pPr>
            <w:r>
              <w:rPr>
                <w:rFonts w:hint="eastAsia" w:ascii="仿宋_GB2312" w:hAnsi="仿宋" w:eastAsia="仿宋_GB2312"/>
                <w:b/>
                <w:color w:val="auto"/>
                <w:sz w:val="28"/>
                <w:szCs w:val="28"/>
              </w:rPr>
              <w:t>项目名称：</w:t>
            </w:r>
            <w:r>
              <w:rPr>
                <w:rFonts w:hint="eastAsia"/>
                <w:color w:val="auto"/>
                <w:sz w:val="28"/>
                <w:szCs w:val="28"/>
                <w:u w:val="single"/>
              </w:rPr>
              <w:t>高明区人民医院被服洗涤服务项目</w:t>
            </w:r>
          </w:p>
        </w:tc>
      </w:tr>
      <w:tr>
        <w:tblPrEx>
          <w:tblLayout w:type="fixed"/>
          <w:tblCellMar>
            <w:top w:w="0" w:type="dxa"/>
            <w:left w:w="108" w:type="dxa"/>
            <w:bottom w:w="0" w:type="dxa"/>
            <w:right w:w="108" w:type="dxa"/>
          </w:tblCellMar>
        </w:tblPrEx>
        <w:trPr>
          <w:trHeight w:val="460" w:hRule="atLeast"/>
          <w:jc w:val="center"/>
        </w:trPr>
        <w:tc>
          <w:tcPr>
            <w:tcW w:w="6740" w:type="dxa"/>
          </w:tcPr>
          <w:p>
            <w:pPr>
              <w:tabs>
                <w:tab w:val="left" w:pos="720"/>
              </w:tabs>
              <w:spacing w:line="360" w:lineRule="auto"/>
              <w:rPr>
                <w:rFonts w:ascii="仿宋_GB2312" w:hAnsi="仿宋" w:eastAsia="仿宋_GB2312"/>
                <w:b/>
                <w:color w:val="auto"/>
                <w:sz w:val="28"/>
                <w:szCs w:val="28"/>
              </w:rPr>
            </w:pPr>
          </w:p>
        </w:tc>
      </w:tr>
    </w:tbl>
    <w:p>
      <w:pPr>
        <w:tabs>
          <w:tab w:val="left" w:pos="720"/>
        </w:tabs>
        <w:spacing w:line="360" w:lineRule="auto"/>
        <w:rPr>
          <w:rFonts w:ascii="仿宋_GB2312" w:hAnsi="仿宋" w:eastAsia="仿宋_GB2312"/>
          <w:b/>
          <w:color w:val="auto"/>
          <w:sz w:val="28"/>
          <w:szCs w:val="28"/>
        </w:rPr>
      </w:pPr>
    </w:p>
    <w:p>
      <w:pPr>
        <w:spacing w:line="360" w:lineRule="auto"/>
        <w:rPr>
          <w:rFonts w:ascii="仿宋_GB2312" w:hAnsi="仿宋" w:eastAsia="仿宋_GB2312"/>
          <w:b/>
          <w:color w:val="auto"/>
          <w:sz w:val="28"/>
          <w:szCs w:val="28"/>
        </w:rPr>
      </w:pPr>
      <w:r>
        <w:rPr>
          <w:rFonts w:hint="eastAsia" w:ascii="仿宋_GB2312" w:hAnsi="仿宋" w:eastAsia="仿宋_GB2312"/>
          <w:b/>
          <w:color w:val="auto"/>
          <w:sz w:val="28"/>
          <w:szCs w:val="28"/>
        </w:rPr>
        <w:t>注：本合同仅为合同的参考文本，合同签订双方可根据项目的具体要求进行修订。</w:t>
      </w:r>
    </w:p>
    <w:p>
      <w:pPr>
        <w:tabs>
          <w:tab w:val="left" w:pos="720"/>
        </w:tabs>
        <w:spacing w:line="360" w:lineRule="auto"/>
        <w:rPr>
          <w:rFonts w:ascii="仿宋_GB2312" w:hAnsi="仿宋" w:eastAsia="仿宋_GB2312"/>
          <w:b/>
          <w:color w:val="auto"/>
          <w:sz w:val="28"/>
          <w:szCs w:val="28"/>
        </w:rPr>
      </w:pPr>
    </w:p>
    <w:p>
      <w:pPr>
        <w:spacing w:line="360" w:lineRule="auto"/>
        <w:jc w:val="center"/>
        <w:rPr>
          <w:rFonts w:eastAsia="黑体"/>
          <w:b/>
          <w:bCs/>
          <w:color w:val="auto"/>
          <w:sz w:val="44"/>
        </w:rPr>
      </w:pPr>
      <w:r>
        <w:rPr>
          <w:color w:val="auto"/>
          <w:sz w:val="24"/>
        </w:rPr>
        <w:br w:type="page"/>
      </w:r>
      <w:r>
        <w:rPr>
          <w:rStyle w:val="31"/>
          <w:color w:val="auto"/>
        </w:rPr>
        <w:t>合同格式</w:t>
      </w:r>
    </w:p>
    <w:p>
      <w:pPr>
        <w:tabs>
          <w:tab w:val="left" w:pos="720"/>
        </w:tabs>
        <w:spacing w:line="360" w:lineRule="auto"/>
        <w:rPr>
          <w:b/>
          <w:color w:val="auto"/>
        </w:rPr>
      </w:pPr>
      <w:r>
        <w:rPr>
          <w:rFonts w:hint="eastAsia"/>
          <w:b/>
          <w:color w:val="auto"/>
        </w:rPr>
        <w:t>甲方：</w:t>
      </w:r>
      <w:r>
        <w:rPr>
          <w:rFonts w:hint="eastAsia"/>
          <w:b/>
          <w:color w:val="auto"/>
          <w:u w:val="single"/>
        </w:rPr>
        <w:t>（采购人</w:t>
      </w:r>
      <w:r>
        <w:rPr>
          <w:b/>
          <w:color w:val="auto"/>
          <w:u w:val="single"/>
        </w:rPr>
        <w:t>/</w:t>
      </w:r>
      <w:r>
        <w:rPr>
          <w:rFonts w:hint="eastAsia"/>
          <w:b/>
          <w:color w:val="auto"/>
          <w:u w:val="single"/>
        </w:rPr>
        <w:t>用户单位）</w:t>
      </w:r>
    </w:p>
    <w:p>
      <w:pPr>
        <w:spacing w:line="360" w:lineRule="auto"/>
        <w:rPr>
          <w:b/>
          <w:color w:val="auto"/>
          <w:u w:val="single"/>
        </w:rPr>
      </w:pPr>
      <w:r>
        <w:rPr>
          <w:rFonts w:hint="eastAsia"/>
          <w:b/>
          <w:color w:val="auto"/>
        </w:rPr>
        <w:t>乙方：</w:t>
      </w:r>
      <w:r>
        <w:rPr>
          <w:rFonts w:hint="eastAsia"/>
          <w:b/>
          <w:color w:val="auto"/>
          <w:u w:val="single"/>
        </w:rPr>
        <w:t>（中标人</w:t>
      </w:r>
      <w:r>
        <w:rPr>
          <w:b/>
          <w:color w:val="auto"/>
          <w:u w:val="single"/>
        </w:rPr>
        <w:t>/</w:t>
      </w:r>
      <w:r>
        <w:rPr>
          <w:rFonts w:hint="eastAsia"/>
          <w:b/>
          <w:color w:val="auto"/>
          <w:u w:val="single"/>
        </w:rPr>
        <w:t>供应方）</w:t>
      </w:r>
      <w:r>
        <w:rPr>
          <w:b/>
          <w:color w:val="auto"/>
        </w:rPr>
        <w:br w:type="textWrapping"/>
      </w:r>
      <w:r>
        <w:rPr>
          <w:rFonts w:hint="eastAsia"/>
          <w:b/>
          <w:color w:val="auto"/>
        </w:rPr>
        <w:t>采购代理机构：</w:t>
      </w:r>
    </w:p>
    <w:p>
      <w:pPr>
        <w:tabs>
          <w:tab w:val="left" w:pos="720"/>
        </w:tabs>
        <w:spacing w:line="360" w:lineRule="auto"/>
        <w:ind w:left="-2" w:leftChars="-1"/>
        <w:rPr>
          <w:color w:val="auto"/>
          <w:sz w:val="28"/>
        </w:rPr>
      </w:pPr>
    </w:p>
    <w:p>
      <w:pPr>
        <w:spacing w:line="360" w:lineRule="auto"/>
        <w:rPr>
          <w:color w:val="auto"/>
        </w:rPr>
      </w:pPr>
      <w:r>
        <w:rPr>
          <w:color w:val="auto"/>
        </w:rPr>
        <w:t xml:space="preserve">     </w:t>
      </w:r>
      <w:r>
        <w:rPr>
          <w:rFonts w:hint="eastAsia"/>
          <w:color w:val="auto"/>
        </w:rPr>
        <w:t>根据《中华人民共和国政府采购法》、《中华人民共和国合同法》、招标文件的要求，</w:t>
      </w:r>
      <w:r>
        <w:rPr>
          <w:rFonts w:hint="eastAsia"/>
          <w:color w:val="auto"/>
          <w:kern w:val="28"/>
        </w:rPr>
        <w:t>经双方协商，</w:t>
      </w:r>
      <w:r>
        <w:rPr>
          <w:rFonts w:hint="eastAsia"/>
          <w:color w:val="auto"/>
        </w:rPr>
        <w:t>本着平等互利和诚实信用的原则，</w:t>
      </w:r>
      <w:r>
        <w:rPr>
          <w:rFonts w:hint="eastAsia"/>
          <w:color w:val="auto"/>
          <w:kern w:val="28"/>
        </w:rPr>
        <w:t>一致同意签订本合同如下。</w:t>
      </w:r>
    </w:p>
    <w:p>
      <w:pPr>
        <w:spacing w:line="360" w:lineRule="auto"/>
        <w:outlineLvl w:val="0"/>
        <w:rPr>
          <w:b/>
          <w:color w:val="auto"/>
        </w:rPr>
      </w:pPr>
      <w:r>
        <w:rPr>
          <w:rFonts w:hint="eastAsia"/>
          <w:b/>
          <w:color w:val="auto"/>
        </w:rPr>
        <w:t>一、项目名称</w:t>
      </w:r>
    </w:p>
    <w:p>
      <w:pPr>
        <w:tabs>
          <w:tab w:val="left" w:pos="720"/>
        </w:tabs>
        <w:spacing w:line="360" w:lineRule="auto"/>
        <w:ind w:firstLine="420" w:firstLineChars="200"/>
        <w:rPr>
          <w:color w:val="auto"/>
        </w:rPr>
      </w:pPr>
      <w:r>
        <w:rPr>
          <w:rFonts w:hint="eastAsia"/>
          <w:color w:val="auto"/>
        </w:rPr>
        <w:t>项目名称：</w:t>
      </w:r>
    </w:p>
    <w:p>
      <w:pPr>
        <w:tabs>
          <w:tab w:val="left" w:pos="720"/>
        </w:tabs>
        <w:spacing w:line="360" w:lineRule="auto"/>
        <w:ind w:firstLine="420" w:firstLineChars="200"/>
        <w:rPr>
          <w:b/>
          <w:color w:val="auto"/>
        </w:rPr>
      </w:pPr>
      <w:r>
        <w:rPr>
          <w:rFonts w:hint="eastAsia"/>
          <w:color w:val="auto"/>
        </w:rPr>
        <w:t>招标编号：</w:t>
      </w:r>
    </w:p>
    <w:p>
      <w:pPr>
        <w:spacing w:line="360" w:lineRule="auto"/>
        <w:outlineLvl w:val="0"/>
        <w:rPr>
          <w:b/>
          <w:color w:val="auto"/>
        </w:rPr>
      </w:pPr>
      <w:r>
        <w:rPr>
          <w:rFonts w:hint="eastAsia"/>
          <w:b/>
          <w:color w:val="auto"/>
        </w:rPr>
        <w:t>二、中标明细及价格： （ 以下洗涤为一年估算量， 按中标单价及实际洗涤量结算）</w:t>
      </w:r>
    </w:p>
    <w:tbl>
      <w:tblPr>
        <w:tblStyle w:val="37"/>
        <w:tblW w:w="7938" w:type="dxa"/>
        <w:tblInd w:w="30" w:type="dxa"/>
        <w:tblLayout w:type="fixed"/>
        <w:tblCellMar>
          <w:top w:w="0" w:type="dxa"/>
          <w:left w:w="30" w:type="dxa"/>
          <w:bottom w:w="0" w:type="dxa"/>
          <w:right w:w="30" w:type="dxa"/>
        </w:tblCellMar>
      </w:tblPr>
      <w:tblGrid>
        <w:gridCol w:w="709"/>
        <w:gridCol w:w="2111"/>
        <w:gridCol w:w="1608"/>
        <w:gridCol w:w="1526"/>
        <w:gridCol w:w="1984"/>
      </w:tblGrid>
      <w:tr>
        <w:tblPrEx>
          <w:tblLayout w:type="fixed"/>
          <w:tblCellMar>
            <w:top w:w="0" w:type="dxa"/>
            <w:left w:w="30" w:type="dxa"/>
            <w:bottom w:w="0" w:type="dxa"/>
            <w:right w:w="30" w:type="dxa"/>
          </w:tblCellMar>
        </w:tblPrEx>
        <w:trPr>
          <w:cantSplit/>
          <w:trHeight w:val="438"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color w:val="auto"/>
              </w:rPr>
            </w:pPr>
            <w:r>
              <w:rPr>
                <w:rFonts w:hint="eastAsia"/>
                <w:color w:val="auto"/>
              </w:rPr>
              <w:t>序号</w:t>
            </w:r>
          </w:p>
        </w:tc>
        <w:tc>
          <w:tcPr>
            <w:tcW w:w="21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color w:val="auto"/>
              </w:rPr>
            </w:pPr>
            <w:r>
              <w:rPr>
                <w:rFonts w:hint="eastAsia"/>
                <w:color w:val="auto"/>
              </w:rPr>
              <w:t>采购内容</w:t>
            </w:r>
          </w:p>
        </w:tc>
        <w:tc>
          <w:tcPr>
            <w:tcW w:w="1608"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color w:val="auto"/>
              </w:rPr>
            </w:pPr>
            <w:r>
              <w:rPr>
                <w:rFonts w:hint="eastAsia"/>
                <w:color w:val="auto"/>
              </w:rPr>
              <w:t>单价（元）</w:t>
            </w: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right="-1919" w:rightChars="-914"/>
              <w:jc w:val="left"/>
              <w:rPr>
                <w:color w:val="auto"/>
              </w:rPr>
            </w:pPr>
            <w:r>
              <w:rPr>
                <w:rFonts w:hint="eastAsia"/>
                <w:color w:val="auto"/>
              </w:rPr>
              <w:t>预算年</w:t>
            </w:r>
            <w:r>
              <w:rPr>
                <w:rFonts w:hint="eastAsia" w:ascii="宋体" w:hAnsi="宋体"/>
                <w:snapToGrid w:val="0"/>
                <w:color w:val="auto"/>
                <w:kern w:val="0"/>
                <w:szCs w:val="21"/>
              </w:rPr>
              <w:t>洗涤量</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rPr>
            </w:pPr>
            <w:r>
              <w:rPr>
                <w:rFonts w:hint="eastAsia"/>
                <w:color w:val="auto"/>
              </w:rPr>
              <w:t>合计</w:t>
            </w:r>
          </w:p>
        </w:tc>
      </w:tr>
      <w:tr>
        <w:tblPrEx>
          <w:tblLayout w:type="fixed"/>
          <w:tblCellMar>
            <w:top w:w="0" w:type="dxa"/>
            <w:left w:w="30" w:type="dxa"/>
            <w:bottom w:w="0" w:type="dxa"/>
            <w:right w:w="30" w:type="dxa"/>
          </w:tblCellMar>
        </w:tblPrEx>
        <w:trPr>
          <w:trHeight w:val="292"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color w:val="auto"/>
              </w:rPr>
            </w:pPr>
            <w:r>
              <w:rPr>
                <w:color w:val="auto"/>
              </w:rPr>
              <w:t>1</w:t>
            </w:r>
          </w:p>
        </w:tc>
        <w:tc>
          <w:tcPr>
            <w:tcW w:w="21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color w:val="auto"/>
              </w:rPr>
            </w:pPr>
          </w:p>
        </w:tc>
        <w:tc>
          <w:tcPr>
            <w:tcW w:w="1608"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color w:val="auto"/>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rPr>
                <w:color w:val="auto"/>
              </w:rPr>
            </w:pP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color w:val="auto"/>
              </w:rPr>
            </w:pPr>
          </w:p>
        </w:tc>
      </w:tr>
    </w:tbl>
    <w:p>
      <w:pPr>
        <w:spacing w:line="360" w:lineRule="auto"/>
        <w:jc w:val="left"/>
        <w:rPr>
          <w:color w:val="auto"/>
        </w:rPr>
      </w:pPr>
    </w:p>
    <w:p>
      <w:pPr>
        <w:spacing w:line="360" w:lineRule="auto"/>
        <w:ind w:left="314" w:hanging="314" w:hangingChars="149"/>
        <w:rPr>
          <w:color w:val="auto"/>
        </w:rPr>
      </w:pPr>
      <w:r>
        <w:rPr>
          <w:b/>
          <w:color w:val="auto"/>
        </w:rPr>
        <w:t>1.</w:t>
      </w:r>
      <w:r>
        <w:rPr>
          <w:rFonts w:hint="eastAsia"/>
          <w:color w:val="auto"/>
        </w:rPr>
        <w:t>合同总额包括甲方</w:t>
      </w:r>
      <w:r>
        <w:rPr>
          <w:rFonts w:hint="eastAsia" w:ascii="宋体" w:hAnsi="宋体"/>
          <w:snapToGrid w:val="0"/>
          <w:color w:val="auto"/>
          <w:kern w:val="0"/>
          <w:szCs w:val="21"/>
        </w:rPr>
        <w:t>医疗衣被洗涤、收送服务中所有成本，收发、运输、洗涤、包装、检验、完税、污衣袋供应和洗涤、供应和洗涤整个过程服务中的人工、辅助材料</w:t>
      </w:r>
      <w:r>
        <w:rPr>
          <w:rFonts w:hint="eastAsia" w:ascii="仿宋" w:hAnsi="仿宋" w:eastAsia="仿宋" w:cs="仿宋"/>
          <w:snapToGrid w:val="0"/>
          <w:color w:val="auto"/>
          <w:kern w:val="0"/>
          <w:szCs w:val="21"/>
        </w:rPr>
        <w:t>、</w:t>
      </w:r>
      <w:r>
        <w:rPr>
          <w:rFonts w:hint="eastAsia" w:ascii="宋体" w:hAnsi="宋体"/>
          <w:snapToGrid w:val="0"/>
          <w:color w:val="auto"/>
          <w:kern w:val="0"/>
          <w:szCs w:val="21"/>
        </w:rPr>
        <w:t>运输工具等以及不可预见的一切费用。</w:t>
      </w:r>
    </w:p>
    <w:p>
      <w:pPr>
        <w:spacing w:line="360" w:lineRule="auto"/>
        <w:ind w:left="314" w:hanging="314" w:hangingChars="149"/>
        <w:outlineLvl w:val="0"/>
        <w:rPr>
          <w:b/>
          <w:color w:val="auto"/>
        </w:rPr>
      </w:pPr>
      <w:r>
        <w:rPr>
          <w:rFonts w:hint="eastAsia"/>
          <w:b/>
          <w:color w:val="auto"/>
        </w:rPr>
        <w:t>三、</w:t>
      </w:r>
      <w:r>
        <w:rPr>
          <w:rFonts w:hint="eastAsia"/>
          <w:b/>
          <w:color w:val="auto"/>
        </w:rPr>
        <w:t>付款方式</w:t>
      </w:r>
    </w:p>
    <w:p>
      <w:pPr>
        <w:pStyle w:val="2"/>
        <w:spacing w:line="360" w:lineRule="auto"/>
        <w:rPr>
          <w:color w:val="auto"/>
          <w:u w:val="single"/>
        </w:rPr>
      </w:pPr>
      <w:r>
        <w:rPr>
          <w:rFonts w:hint="eastAsia" w:ascii="宋体" w:hAnsi="宋体"/>
          <w:color w:val="auto"/>
          <w:szCs w:val="21"/>
          <w:u w:val="single"/>
        </w:rPr>
        <w:t xml:space="preserve">   采用隔月结算方式结算。每月最后一天，（节假日除外）甲、乙双方核对一次上月双方确认的</w:t>
      </w:r>
      <w:r>
        <w:rPr>
          <w:rFonts w:hint="eastAsia" w:ascii="宋体" w:hAnsi="宋体"/>
          <w:snapToGrid w:val="0"/>
          <w:color w:val="auto"/>
          <w:kern w:val="0"/>
          <w:szCs w:val="21"/>
          <w:u w:val="single"/>
        </w:rPr>
        <w:t>洁净洗涤医疗被服清单</w:t>
      </w:r>
      <w:r>
        <w:rPr>
          <w:rFonts w:hint="eastAsia" w:ascii="宋体" w:hAnsi="宋体"/>
          <w:color w:val="auto"/>
          <w:szCs w:val="21"/>
          <w:u w:val="single"/>
        </w:rPr>
        <w:t>，甲方在五个工作日内与乙方核对清楚；乙方根据上月</w:t>
      </w:r>
      <w:r>
        <w:rPr>
          <w:rFonts w:hint="eastAsia" w:ascii="宋体" w:hAnsi="宋体"/>
          <w:snapToGrid w:val="0"/>
          <w:color w:val="auto"/>
          <w:kern w:val="0"/>
          <w:szCs w:val="21"/>
          <w:u w:val="single"/>
        </w:rPr>
        <w:t>洁净洗涤医疗被服</w:t>
      </w:r>
      <w:r>
        <w:rPr>
          <w:rFonts w:hint="eastAsia" w:ascii="宋体" w:hAnsi="宋体"/>
          <w:color w:val="auto"/>
          <w:szCs w:val="21"/>
          <w:u w:val="single"/>
        </w:rPr>
        <w:t>清单乘以被服洗涤价格再乘以中标折扣率计算洗涤费用总额，然后按洗涤费用总额的95%开具有效服务发票，甲方在30个工作日内以银行转帐方式结清洗涤费用。余下5%的月服务费余额待年终考核达标后累加核对清楚后一次性结清。本项目各品种被服的洗涤标准单价详见用户需求。</w:t>
      </w:r>
    </w:p>
    <w:p>
      <w:pPr>
        <w:spacing w:line="360" w:lineRule="auto"/>
        <w:ind w:left="700" w:hanging="700"/>
        <w:rPr>
          <w:b/>
          <w:color w:val="auto"/>
        </w:rPr>
      </w:pPr>
    </w:p>
    <w:p>
      <w:pPr>
        <w:spacing w:line="360" w:lineRule="auto"/>
        <w:ind w:left="700" w:hanging="700"/>
        <w:outlineLvl w:val="0"/>
        <w:rPr>
          <w:b/>
          <w:color w:val="auto"/>
        </w:rPr>
      </w:pPr>
      <w:r>
        <w:rPr>
          <w:rFonts w:hint="eastAsia"/>
          <w:b/>
          <w:color w:val="auto"/>
        </w:rPr>
        <w:t>四、服务地点：</w:t>
      </w:r>
    </w:p>
    <w:p>
      <w:pPr>
        <w:spacing w:line="360" w:lineRule="auto"/>
        <w:rPr>
          <w:b/>
          <w:bCs/>
          <w:color w:val="auto"/>
        </w:rPr>
      </w:pPr>
      <w:r>
        <w:rPr>
          <w:color w:val="auto"/>
          <w:szCs w:val="21"/>
        </w:rPr>
        <w:t xml:space="preserve"> 1</w:t>
      </w:r>
      <w:r>
        <w:rPr>
          <w:rFonts w:hint="eastAsia"/>
          <w:color w:val="auto"/>
          <w:szCs w:val="21"/>
        </w:rPr>
        <w:t>、服务地点：甲方所在地，地址为佛山市高明区荷城街道康宁路</w:t>
      </w:r>
      <w:r>
        <w:rPr>
          <w:color w:val="auto"/>
          <w:szCs w:val="21"/>
        </w:rPr>
        <w:t>1</w:t>
      </w:r>
      <w:r>
        <w:rPr>
          <w:rFonts w:hint="eastAsia"/>
          <w:color w:val="auto"/>
          <w:szCs w:val="21"/>
        </w:rPr>
        <w:t>号</w:t>
      </w:r>
      <w:r>
        <w:rPr>
          <w:rFonts w:hint="eastAsia"/>
          <w:b/>
          <w:bCs/>
          <w:color w:val="auto"/>
        </w:rPr>
        <w:t>。</w:t>
      </w:r>
    </w:p>
    <w:p>
      <w:pPr>
        <w:spacing w:line="360" w:lineRule="auto"/>
        <w:rPr>
          <w:b/>
          <w:color w:val="auto"/>
        </w:rPr>
      </w:pPr>
    </w:p>
    <w:p>
      <w:pPr>
        <w:spacing w:line="360" w:lineRule="auto"/>
        <w:rPr>
          <w:b/>
          <w:color w:val="auto"/>
        </w:rPr>
      </w:pPr>
      <w:r>
        <w:rPr>
          <w:rFonts w:hint="eastAsia"/>
          <w:b/>
          <w:color w:val="auto"/>
        </w:rPr>
        <w:t>五、服务年限：</w:t>
      </w:r>
    </w:p>
    <w:p>
      <w:pPr>
        <w:spacing w:line="360" w:lineRule="auto"/>
        <w:rPr>
          <w:b/>
          <w:bCs/>
          <w:color w:val="auto"/>
        </w:rPr>
      </w:pPr>
      <w:r>
        <w:rPr>
          <w:rFonts w:hint="eastAsia" w:ascii="宋体" w:hAnsi="宋体"/>
          <w:snapToGrid w:val="0"/>
          <w:color w:val="auto"/>
          <w:kern w:val="0"/>
          <w:szCs w:val="21"/>
        </w:rPr>
        <w:t xml:space="preserve">    服务年限：壹年，2020年   月  日至2020年   月   日,最终以签订合同日期为准。因特殊原因，甲方未能于合同结束日交接的，乙方必须无条件接受按合同结束日所在月份应收费用标准及服务要求标准延长不多于三个月的过渡期服务，以保证医院</w:t>
      </w:r>
      <w:r>
        <w:rPr>
          <w:rFonts w:hint="eastAsia"/>
          <w:b/>
          <w:color w:val="auto"/>
          <w:szCs w:val="21"/>
        </w:rPr>
        <w:t>洗涤服务</w:t>
      </w:r>
      <w:r>
        <w:rPr>
          <w:rFonts w:hint="eastAsia" w:ascii="宋体" w:hAnsi="宋体"/>
          <w:snapToGrid w:val="0"/>
          <w:color w:val="auto"/>
          <w:kern w:val="0"/>
          <w:szCs w:val="21"/>
        </w:rPr>
        <w:t>需要。延长服务期间，乙方收费以月度为计算单位。</w:t>
      </w:r>
    </w:p>
    <w:p>
      <w:pPr>
        <w:spacing w:line="360" w:lineRule="auto"/>
        <w:rPr>
          <w:b/>
          <w:color w:val="auto"/>
        </w:rPr>
      </w:pPr>
    </w:p>
    <w:p>
      <w:pPr>
        <w:spacing w:line="360" w:lineRule="auto"/>
        <w:ind w:left="700" w:hanging="700"/>
        <w:outlineLvl w:val="0"/>
        <w:rPr>
          <w:b/>
          <w:color w:val="auto"/>
        </w:rPr>
      </w:pPr>
      <w:r>
        <w:rPr>
          <w:rFonts w:hint="eastAsia"/>
          <w:b/>
          <w:color w:val="auto"/>
        </w:rPr>
        <w:t>六、服务要求：</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1、基本要求</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（1）采购人不负责提供给中标服务商工作人员休息场所，仅提供污染衣和清洁衣的中转场所。</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（2）采购人可不定期到中标服务商的洗涤现场对工作质量进行监督、管理和指导；采购人对中标服务商送来的洁衣物每季度随机抽查，送疾病预防控制中心</w:t>
      </w:r>
      <w:r>
        <w:rPr>
          <w:rFonts w:hint="eastAsia" w:ascii="宋体" w:hAnsi="宋体"/>
          <w:bCs/>
          <w:snapToGrid w:val="0"/>
          <w:color w:val="auto"/>
          <w:kern w:val="0"/>
          <w:szCs w:val="21"/>
        </w:rPr>
        <w:t>或佛山市质量计量监督检测中心</w:t>
      </w:r>
      <w:r>
        <w:rPr>
          <w:rFonts w:hint="eastAsia" w:ascii="宋体" w:hAnsi="宋体"/>
          <w:snapToGrid w:val="0"/>
          <w:color w:val="auto"/>
          <w:kern w:val="0"/>
          <w:szCs w:val="21"/>
        </w:rPr>
        <w:t>检测，检测费用由中标服务商承担，检测报告交由双方备案。采购人如对检测结果有疑问，可由双方共同认可的机构，在双方工作人员在场监督下对衣物进行抽样检测，检测费用直接由中标服务商承担，检测结果证实确有问题，采购人有权对其提出贰万元以内（含）的罚款（在不对采购人造成利益损害的情况下）。若因中标服务商工作质量问题或失误给采购人造成利益损害的，中标服务商应当赔偿由此给采购人造成的损失，采购人有权随时解除合同。</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3）中标服务商必须将病人和医院工作人员的污衣物分开打包，打包污衣袋由中标服务商免费提供，并按行业规定作特殊强化洗涤与消毒处理。采购人的衣物要求使用专用洗衣机，专机专洗，病人和工作人员衣物分开洗，分开烘干，同时不得和其他医院混洗，混烘干，混放等。</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（4）中标服务商负责每天2</w:t>
      </w:r>
      <w:r>
        <w:rPr>
          <w:rFonts w:hint="eastAsia" w:ascii="宋体" w:hAnsi="宋体"/>
          <w:snapToGrid w:val="0"/>
          <w:color w:val="auto"/>
          <w:kern w:val="0"/>
          <w:szCs w:val="21"/>
          <w:u w:val="single"/>
        </w:rPr>
        <w:t>次</w:t>
      </w:r>
      <w:r>
        <w:rPr>
          <w:rFonts w:hint="eastAsia" w:ascii="宋体" w:hAnsi="宋体"/>
          <w:snapToGrid w:val="0"/>
          <w:color w:val="auto"/>
          <w:kern w:val="0"/>
          <w:szCs w:val="21"/>
        </w:rPr>
        <w:t>上午7：30前【和下午2：00前】到达采购方交回前一天收取并清洗干净的被服和收取污被服；因特殊情况科室需增加送衣与收衣次数，每天最多不超过4次，中标服务商必须积极配合和满足临床需要。中标服务商应配备不少于6名工作人员(其中总院院区4人，妇幼院区2 人 ）到临床各科完成上述收污衣、送洁衣服务工作。</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（5）中标服务商负责与采购方相对固定工作人员核对每天的收送数量，并做好交接、签收工作记录。衣物交接与清点方式由双方具体协定。</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（6）中标服务商负责将病人、工作人员、婴儿衣物、手术衣物等需清洁布类的污衣分开打包上车，将洁衣卸车并送入被服房，盛装清洁布类的洁衣袋全部由洗涤公司提供，并保证洁净，不可有破损霉烂。</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 xml:space="preserve"> （7）洗衣单、洗涤服务投诉单等一切单据与办公用品均由中标服务商提供，洗衣单（内容包含出洗时间、出洗数量和品种、双方签名确认等）；洗涤服务投诉单【内容包含投诉时间、科室、投诉问题（服务态度、收送时间、数量不够等）、双方签名确认等】所有单据均一式三联，必须有双方签名确认的单据方有效。 三联存放：各临床科室一联、中标服务商二联、医院总务科三联，每天的洗衣单以原始单据和电子表格每月5号前交医院总务科，便于汇总核对。</w:t>
      </w:r>
    </w:p>
    <w:p>
      <w:pPr>
        <w:numPr>
          <w:ilvl w:val="0"/>
          <w:numId w:val="18"/>
        </w:num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按时、按质、按量完成医院的洗涤</w:t>
      </w:r>
      <w:r>
        <w:rPr>
          <w:rFonts w:hint="eastAsia" w:ascii="仿宋" w:hAnsi="仿宋" w:eastAsia="仿宋" w:cs="仿宋"/>
          <w:snapToGrid w:val="0"/>
          <w:color w:val="auto"/>
          <w:kern w:val="0"/>
          <w:szCs w:val="21"/>
        </w:rPr>
        <w:t>、</w:t>
      </w:r>
      <w:r>
        <w:rPr>
          <w:rFonts w:hint="eastAsia" w:ascii="宋体" w:hAnsi="宋体"/>
          <w:snapToGrid w:val="0"/>
          <w:color w:val="auto"/>
          <w:kern w:val="0"/>
          <w:szCs w:val="21"/>
        </w:rPr>
        <w:t>配送</w:t>
      </w:r>
      <w:r>
        <w:rPr>
          <w:rFonts w:hint="eastAsia" w:ascii="仿宋" w:hAnsi="仿宋" w:eastAsia="仿宋" w:cs="仿宋"/>
          <w:snapToGrid w:val="0"/>
          <w:color w:val="auto"/>
          <w:kern w:val="0"/>
          <w:szCs w:val="21"/>
        </w:rPr>
        <w:t>、</w:t>
      </w:r>
      <w:r>
        <w:rPr>
          <w:rFonts w:hint="eastAsia" w:ascii="宋体" w:hAnsi="宋体"/>
          <w:snapToGrid w:val="0"/>
          <w:color w:val="auto"/>
          <w:kern w:val="0"/>
          <w:szCs w:val="21"/>
        </w:rPr>
        <w:t>收发等工作任务，若因中标服务商的缘故导致衣物洗涤质量达不到正常卫生标准而影响采购人被服使用和供应，应在双方交接时提出并立即退回中标服务商免费返洗，填写返洗单，双方确认签名。次日送洁衣时一并送回并记录。</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9）采购人需要洗涤的衣物，中标服务商除完成洗干净、干燥、叠好、熨平的工作外，还须对有破损或无钮扣的衣物布草给予免费缝补和补钉钮扣等工作，缝线与补钉钮扣等工作由中标服务商完成，采购人不负责采购。</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10）中标服务商每月5号之前向采购人提交上个月的洗涤服务书面与电子月报表，内容包括各科室当月洗涤污衣数量、品种，送回洁衣品种、数量；总回洗数量、品种；总报废数量、品种；采购人各科室投诉内容、次数及处理结果；当月结算金额等。采购人收到月报表后进行核实确认，根据中标人所报折扣率乘以附件衣物洗涤价目表单价为品目单价按实结算。</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11）中标服务商洗涤收送服务的负责人每季度到采购人各科室和管理部门充分听取服务质量及洗涤工作意见，并收集问题登记本（以临床科室负责人签名为依据），对出现的问题限五个工作日内处理和提出整改措施，请相关科室负责人签名确认，并把反馈单报总务科签名，不断改进收送服务和洗涤工作质量等。</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（12）中标服务商的工作人员在收集、分检污衣物时必须对工作服、病人服的衣袋进行检查、清理，发现水笔、证件等物品必须立即通知相关科室。</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（13）合同到期或双方解除合同，应提前一个月知会对方。</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2、服务工作质量要求</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（1）洁净度要求</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1）符合医院布草洗涤行业标准；</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2）洗涤物的过水漂洗要透彻，每台冼衣机按机器说明书要求每次冼涤量不准超过本机的标准冼涤重量，避免因洗涤剂残留而出现泛黄变色或触摸布类表面有黏涩感；</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3）对于沾染污垢或被染色的部位，应做到清洗还原后与布料原色基本保持一致。</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 xml:space="preserve">（2）缝补要求 </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1）医护人员工作服及病人衣服如出现缺失钮或有破损的，应及时规范缝钉；</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2）手术室布类如有破损，应及时缝补，缝补针迹要求均匀、整齐；补钉的纽扣大小、颜色应与原来的纽扣基本一致，不可过大、过小或色差过大；</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（3）洗衣房环境要求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1）内部布局合理，严格区分污染区、半污染区、清洁区，区域划分清楚并有明显的标志，各区间有屏障相隔。</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2）污染区为病人污衣物分检、清点、处理、清洗间；半污染区为医务人员污衣物（口罩、工作服、值班被服）分检、清点、处理及清洗间；清洁区为洗净衣物晾（烘）干、缝补、熨烫、摺叠、储存、发送间。</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洗涤设备要求</w:t>
      </w:r>
    </w:p>
    <w:p>
      <w:pPr>
        <w:spacing w:line="460" w:lineRule="exact"/>
        <w:ind w:firstLine="105" w:firstLineChars="50"/>
        <w:rPr>
          <w:rFonts w:ascii="宋体" w:hAnsi="宋体"/>
          <w:snapToGrid w:val="0"/>
          <w:color w:val="auto"/>
          <w:kern w:val="0"/>
          <w:szCs w:val="21"/>
        </w:rPr>
      </w:pPr>
      <w:r>
        <w:rPr>
          <w:rFonts w:hint="eastAsia" w:ascii="宋体" w:hAnsi="宋体"/>
          <w:snapToGrid w:val="0"/>
          <w:color w:val="auto"/>
          <w:kern w:val="0"/>
          <w:szCs w:val="21"/>
        </w:rPr>
        <w:t>应配备洗衣机数量</w:t>
      </w:r>
      <w:r>
        <w:rPr>
          <w:rFonts w:hint="eastAsia" w:ascii="宋体" w:hAnsi="宋体"/>
          <w:b/>
          <w:bCs/>
          <w:snapToGrid w:val="0"/>
          <w:color w:val="auto"/>
          <w:kern w:val="0"/>
          <w:szCs w:val="21"/>
        </w:rPr>
        <w:t>5台</w:t>
      </w:r>
      <w:r>
        <w:rPr>
          <w:rFonts w:hint="eastAsia" w:ascii="宋体" w:hAnsi="宋体"/>
          <w:snapToGrid w:val="0"/>
          <w:color w:val="auto"/>
          <w:kern w:val="0"/>
          <w:szCs w:val="21"/>
        </w:rPr>
        <w:t>以上，烘干机数量</w:t>
      </w:r>
      <w:r>
        <w:rPr>
          <w:rFonts w:hint="eastAsia" w:ascii="宋体" w:hAnsi="宋体"/>
          <w:b/>
          <w:bCs/>
          <w:snapToGrid w:val="0"/>
          <w:color w:val="auto"/>
          <w:kern w:val="0"/>
          <w:szCs w:val="21"/>
        </w:rPr>
        <w:t>5台</w:t>
      </w:r>
      <w:r>
        <w:rPr>
          <w:rFonts w:hint="eastAsia" w:ascii="宋体" w:hAnsi="宋体"/>
          <w:snapToGrid w:val="0"/>
          <w:color w:val="auto"/>
          <w:kern w:val="0"/>
          <w:szCs w:val="21"/>
        </w:rPr>
        <w:t>以上，保证医务人员、普通病人和传染病人衣物专机专洗。</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衣被的分类和洗涤消毒要求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1）病人衣被和医务人员衣物（口罩、值班被服、工作服）必须分类和专机洗涤，不得混洗；我院衣物不得和其他医院的衣物混合洗。</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2）一般污染衣被：包括医务人员值班被服、办公室洗衣物。其洗涤消毒方法：棉质衣被用1%消毒洗涤剂70℃以上温度（化纤衣被只宜40℃～45℃）在洗衣机内洗25分钟，再用清水漂洗。</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传染性衣被：包括医务人员衣物（口罩、工作服），病人衣被、手术室所有衣物和衣被收集袋。根据受污染的程度分为：无明显污染的传染性衣被、有明显血、脓、便污染的传染性衣被、特殊传染性衣被三类。</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其洗涤消毒方法分别为：</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a）无明显污染的传染性衣被：用含有效氯500mg/L的消毒洗衣粉溶液洗涤30～60分钟，然后用清水漂净。</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b）有明显血、脓、便污染的传染性衣被：在用热水洗涤前，先用冷洗涤液或1%～2%冷碱水将血、脓、便等有机物洗净，将该洗液煮沸消毒弃去，经清水漂洗后，再按第1条洗涤消毒。</w:t>
      </w:r>
    </w:p>
    <w:p>
      <w:pPr>
        <w:spacing w:line="460" w:lineRule="exact"/>
        <w:rPr>
          <w:rFonts w:ascii="宋体" w:hAnsi="宋体"/>
          <w:snapToGrid w:val="0"/>
          <w:color w:val="auto"/>
          <w:kern w:val="0"/>
          <w:szCs w:val="21"/>
        </w:rPr>
      </w:pPr>
      <w:r>
        <w:rPr>
          <w:rFonts w:hint="eastAsia" w:ascii="宋体" w:hAnsi="宋体"/>
          <w:snapToGrid w:val="0"/>
          <w:color w:val="auto"/>
          <w:kern w:val="0"/>
          <w:szCs w:val="21"/>
        </w:rPr>
        <w:t>c）特殊传染性衣被：指受特殊病原体污染的衣被，用特殊专用的污衣袋或感染性废物黄色塑料袋包装，有明显标识的衣被。先用1000mg/L含氯消毒剂浸泡消毒一小时，再按第1条洗涤消毒，并指定专人、专机清洗。</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洗衣车间各区域流程的使用及工作要求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1）设洁污人流、物流通道。人流由洁到污，物流由污到洁，顺行通过，不得交叉或逆行。</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2）工作人员严格按工作流程指引，做好防护措施出入各区域，防护用品包括：工作服、口罩、手套、帽子、隔离衣、水鞋或塑胶密封胶鞋等。</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3）各区域工人分工合作，不得在各区域随意走动，严禁由污染区未经更衣换鞋到清洁区，工作人员进入洗净衣物储存，必须洗手、换入室清洁拖鞋。患有化脓性皮肤病工作人员不得参与熨烫、摺叠衣物。</w:t>
      </w:r>
    </w:p>
    <w:p>
      <w:pPr>
        <w:numPr>
          <w:ilvl w:val="0"/>
          <w:numId w:val="19"/>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衣被晾（烘）干、熨烫、摺叠、储存要求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1）对工作人员和病人衣被；一般污染和传染性的衣被洗涤消毒后要分区晾（烘）干、熨烫、摺叠和储存，不得混杂。熨烫时要特别注意曾受或易受污染之处。</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2）儿科衣被应有专用烘干、熨烫、摺叠、储存衣被处，不可与其他衣被混淆。</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（8）洗净衣被质量要求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1）、每年提供由市级以上卫生防疫部门</w:t>
      </w:r>
      <w:r>
        <w:rPr>
          <w:rFonts w:hint="eastAsia" w:ascii="宋体" w:hAnsi="宋体"/>
          <w:bCs/>
          <w:snapToGrid w:val="0"/>
          <w:color w:val="auto"/>
          <w:kern w:val="0"/>
          <w:szCs w:val="21"/>
        </w:rPr>
        <w:t>或佛山市质量计量监督检测中心</w:t>
      </w:r>
      <w:r>
        <w:rPr>
          <w:rFonts w:hint="eastAsia" w:ascii="宋体" w:hAnsi="宋体"/>
          <w:snapToGrid w:val="0"/>
          <w:color w:val="auto"/>
          <w:kern w:val="0"/>
          <w:szCs w:val="21"/>
        </w:rPr>
        <w:t>对洗净衣被消毒效果的监测报告，达到相关标准。</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2）洗净衣被要做到无异味、无臭味、无污渍、无血渍、无破损。</w:t>
      </w:r>
    </w:p>
    <w:p>
      <w:pPr>
        <w:tabs>
          <w:tab w:val="left" w:pos="1320"/>
        </w:tabs>
        <w:spacing w:line="460" w:lineRule="exact"/>
        <w:rPr>
          <w:rFonts w:ascii="宋体" w:hAnsi="宋体"/>
          <w:snapToGrid w:val="0"/>
          <w:color w:val="auto"/>
          <w:kern w:val="0"/>
          <w:szCs w:val="21"/>
        </w:rPr>
      </w:pPr>
      <w:r>
        <w:rPr>
          <w:rFonts w:hint="eastAsia" w:ascii="宋体" w:hAnsi="宋体"/>
          <w:snapToGrid w:val="0"/>
          <w:color w:val="auto"/>
          <w:kern w:val="0"/>
          <w:szCs w:val="21"/>
        </w:rPr>
        <w:t>3）免费对有破损、掉纽扣的衣物进行修补，缝线与补钉钮扣等由中标服务商提供，采购人不负责采购。实在不能修补的,以书面方式提请医院办理衣物报废。</w:t>
      </w:r>
    </w:p>
    <w:p>
      <w:pPr>
        <w:numPr>
          <w:ilvl w:val="0"/>
          <w:numId w:val="20"/>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衣被收集运送要求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1）医务人员污衣被（工作服、值班被服、口罩）与病人污衣被必须分开、分类，清点、收集并分袋独立密封包装，不得混放。</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2）中标服务商的人员</w:t>
      </w:r>
      <w:r>
        <w:rPr>
          <w:rFonts w:hint="eastAsia" w:ascii="华文仿宋" w:hAnsi="华文仿宋" w:eastAsia="华文仿宋" w:cs="华文仿宋"/>
          <w:snapToGrid w:val="0"/>
          <w:color w:val="auto"/>
          <w:kern w:val="0"/>
          <w:sz w:val="24"/>
        </w:rPr>
        <w:t>必须</w:t>
      </w:r>
      <w:r>
        <w:rPr>
          <w:rFonts w:hint="eastAsia" w:ascii="宋体" w:hAnsi="宋体"/>
          <w:snapToGrid w:val="0"/>
          <w:color w:val="auto"/>
          <w:kern w:val="0"/>
          <w:szCs w:val="21"/>
        </w:rPr>
        <w:t>每天按时到医院各科室收、送出洗的衣物，按数量送回，不能丢失衣物。</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3）收污衣物人员须做好个人防护措施，如穿戴防护服、手套、口罩、帽子等，防护用品的费用由中标服务商负责。</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（10）衣被收集运送工具配置要求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运送车辆：须配备2台以上带箱农夫车作运送机动车辆，用于送衣和接衣。车辆在每次运送洁净衣被前必须按照相关标准进行严格的消毒处理，每天先运送洁净衣被后再接运污衣。禁止洁污衣被混合一起运送，违者经查实罚违约金3000元每次。</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2)运送通道：必须按我院规定的洁污专用通道装卸衣被，不得交叉通行。</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收送衣被：衣被收集袋分3种，分别收放有明显污染的病人衣被、一般病人衣被及医护工作人员的工作衣服、帽子和口罩。衣被收集袋应保持密闭直至清洗。所有洗净衣被应按工作人员与病人、一般污染与传染性污染分类，并用不同的塑料箱运送。中标服务商与采购人的衣物交接与清点方式由双方具体协定。</w:t>
      </w:r>
    </w:p>
    <w:p>
      <w:pPr>
        <w:tabs>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（11）洗衣房环境卫生、运送工具的清洁消毒要求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1）半污染区、污染区的清洁消毒：上班时打开窗户、保持良好通风，上、下午工作后用含500mg/L有效氯溶液拖地一次后，用紫外线灯照射1小时，并做好相关登记记录。</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2）清洁区的保洁：上班时开窗通风，用清水擦拭桌、椅、工作台面、拖地一次，保持清洁。下班时关闭门窗，减少灰尘和风沙，地面再用清水拖擦一次。</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3）机动车辆每天运送工作结束后，必须用10000mg/L含氯消毒剂进行车内外喷雾至表面湿润，作用60min，并做好相关记录。</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4）洗衣房的污衣被装卸手推车每日用1000mg/L含氯消毒剂擦拭消毒，洁净衣被手推车每日用清水进行擦拭。</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5）清洁卫生用具分区标识，分区使用，不准跨区，用后清洁消毒、洗净挂起晾干。</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6）洗衣房的洗衣池（机）洗衣后应消毒。洗衣房洗后处理区及清洁区应配备空气消毒设施并定期消毒。</w:t>
      </w:r>
    </w:p>
    <w:p>
      <w:pPr>
        <w:tabs>
          <w:tab w:val="left" w:pos="360"/>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7）对洗后衣物、工作区空气、洗衣机把手、熨烫台、工作人员的手等每月进行监测。</w:t>
      </w:r>
    </w:p>
    <w:p>
      <w:pPr>
        <w:numPr>
          <w:ilvl w:val="0"/>
          <w:numId w:val="21"/>
        </w:numPr>
        <w:tabs>
          <w:tab w:val="left" w:pos="720"/>
          <w:tab w:val="left" w:pos="1134"/>
        </w:tabs>
        <w:spacing w:line="460" w:lineRule="exact"/>
        <w:rPr>
          <w:rFonts w:ascii="宋体" w:hAnsi="宋体"/>
          <w:snapToGrid w:val="0"/>
          <w:color w:val="auto"/>
          <w:kern w:val="0"/>
          <w:szCs w:val="21"/>
        </w:rPr>
      </w:pPr>
      <w:r>
        <w:rPr>
          <w:rFonts w:hint="eastAsia" w:ascii="宋体" w:hAnsi="宋体"/>
          <w:snapToGrid w:val="0"/>
          <w:color w:val="auto"/>
          <w:kern w:val="0"/>
          <w:szCs w:val="21"/>
        </w:rPr>
        <w:t>、洗衣房工作人员要求</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1）工作人员上岗前体检，直接从事织物洗涤的工作人员上岗前必须到卫生防疫机构进行一次健康体检、消毒卫生知识和有关卫生标准的培训，取得健康体检合格证明或卫生培训合格证后方可上岗。</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2)患有活动性肺结核、病毒性肝炎、肠道传染病患者及病原携带者，化脓性或慢性渗出性皮肤病等传染病患者不得从事洗衣工作。</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3)工作人员必须严格执行洗衣房工作制度及各种工作流程。</w:t>
      </w:r>
    </w:p>
    <w:p>
      <w:pPr>
        <w:tabs>
          <w:tab w:val="left" w:pos="1190"/>
          <w:tab w:val="left" w:pos="1260"/>
        </w:tabs>
        <w:spacing w:line="460" w:lineRule="exact"/>
        <w:rPr>
          <w:rFonts w:ascii="宋体" w:hAnsi="宋体"/>
          <w:snapToGrid w:val="0"/>
          <w:color w:val="auto"/>
          <w:kern w:val="0"/>
          <w:szCs w:val="21"/>
        </w:rPr>
      </w:pPr>
      <w:r>
        <w:rPr>
          <w:rFonts w:hint="eastAsia" w:ascii="宋体" w:hAnsi="宋体"/>
          <w:snapToGrid w:val="0"/>
          <w:color w:val="auto"/>
          <w:kern w:val="0"/>
          <w:szCs w:val="21"/>
        </w:rPr>
        <w:t>4)工作前后，特别是处理了污染或具有传染性的衣被后，必须用肥皂流水洗手。</w:t>
      </w:r>
    </w:p>
    <w:p>
      <w:pPr>
        <w:tabs>
          <w:tab w:val="left" w:pos="1190"/>
          <w:tab w:val="left" w:pos="1260"/>
        </w:tabs>
        <w:spacing w:line="460" w:lineRule="exact"/>
        <w:rPr>
          <w:b/>
          <w:bCs/>
          <w:color w:val="auto"/>
        </w:rPr>
      </w:pPr>
      <w:r>
        <w:rPr>
          <w:rFonts w:hint="eastAsia" w:ascii="宋体" w:hAnsi="宋体"/>
          <w:snapToGrid w:val="0"/>
          <w:color w:val="auto"/>
          <w:kern w:val="0"/>
          <w:szCs w:val="21"/>
        </w:rPr>
        <w:t>5)污染区工作人员工作时应戴帽子、口罩、工作服、鞋，并及时更换，不得留长指甲。每日下班后淋浴更衣方可离开。</w:t>
      </w:r>
    </w:p>
    <w:p>
      <w:pPr>
        <w:spacing w:line="360" w:lineRule="auto"/>
        <w:outlineLvl w:val="0"/>
        <w:rPr>
          <w:color w:val="auto"/>
        </w:rPr>
      </w:pPr>
      <w:r>
        <w:rPr>
          <w:rFonts w:hint="eastAsia"/>
          <w:b/>
          <w:color w:val="auto"/>
        </w:rPr>
        <w:t>七、违约责任</w:t>
      </w:r>
    </w:p>
    <w:p>
      <w:pPr>
        <w:spacing w:line="360" w:lineRule="auto"/>
        <w:rPr>
          <w:rFonts w:ascii="宋体" w:hAnsi="宋体"/>
          <w:snapToGrid w:val="0"/>
          <w:color w:val="auto"/>
          <w:kern w:val="0"/>
          <w:szCs w:val="21"/>
        </w:rPr>
      </w:pPr>
      <w:r>
        <w:rPr>
          <w:rFonts w:hint="eastAsia" w:ascii="宋体" w:hAnsi="宋体"/>
          <w:snapToGrid w:val="0"/>
          <w:color w:val="auto"/>
          <w:kern w:val="0"/>
          <w:szCs w:val="21"/>
        </w:rPr>
        <w:t>1.乙方所交付服务成果不符合本合同规定的，甲方有权拒收，乙方在得到甲方通知之日起</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个工作日内采取补救措施，逾期仍未采取有效措施的，甲方有权要求乙方赔偿，因此造成的损失或扣留履约保证金；同时乙方应向甲方支付合同总价</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％的违约金。</w:t>
      </w:r>
    </w:p>
    <w:p>
      <w:pPr>
        <w:spacing w:line="360" w:lineRule="auto"/>
        <w:rPr>
          <w:rFonts w:ascii="宋体" w:hAnsi="宋体"/>
          <w:snapToGrid w:val="0"/>
          <w:color w:val="auto"/>
          <w:kern w:val="0"/>
          <w:szCs w:val="21"/>
        </w:rPr>
      </w:pPr>
      <w:r>
        <w:rPr>
          <w:rFonts w:hint="eastAsia" w:ascii="宋体" w:hAnsi="宋体"/>
          <w:snapToGrid w:val="0"/>
          <w:color w:val="auto"/>
          <w:kern w:val="0"/>
          <w:szCs w:val="21"/>
        </w:rPr>
        <w:t>2.甲方无正当理由拒收服务，甲方应向乙方偿付拒付服务费用</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％的违约金。</w:t>
      </w:r>
    </w:p>
    <w:p>
      <w:pPr>
        <w:spacing w:line="360" w:lineRule="auto"/>
        <w:rPr>
          <w:rFonts w:ascii="宋体" w:hAnsi="宋体"/>
          <w:snapToGrid w:val="0"/>
          <w:color w:val="auto"/>
          <w:kern w:val="0"/>
          <w:szCs w:val="21"/>
        </w:rPr>
      </w:pPr>
      <w:r>
        <w:rPr>
          <w:rFonts w:hint="eastAsia" w:ascii="宋体" w:hAnsi="宋体"/>
          <w:snapToGrid w:val="0"/>
          <w:color w:val="auto"/>
          <w:kern w:val="0"/>
          <w:szCs w:val="21"/>
        </w:rPr>
        <w:t>3.乙方无正当理由逾期交付服务的，每逾期 1 天，乙方向甲方偿付合同总额的</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‰的违约金。如乙方逾期达</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天，甲方有权解除合同，甲方解除合同的通知自到达乙方时生效。在此情况下，乙方给甲方造成的实际损失高于违约金的，对高出违约金的部分乙方应予以赔偿。</w:t>
      </w:r>
    </w:p>
    <w:p>
      <w:pPr>
        <w:spacing w:line="360" w:lineRule="auto"/>
        <w:rPr>
          <w:rFonts w:ascii="宋体" w:hAnsi="宋体"/>
          <w:snapToGrid w:val="0"/>
          <w:color w:val="auto"/>
          <w:kern w:val="0"/>
          <w:szCs w:val="21"/>
        </w:rPr>
      </w:pPr>
      <w:r>
        <w:rPr>
          <w:rFonts w:hint="eastAsia" w:ascii="宋体" w:hAnsi="宋体"/>
          <w:snapToGrid w:val="0"/>
          <w:color w:val="auto"/>
          <w:kern w:val="0"/>
          <w:szCs w:val="21"/>
        </w:rPr>
        <w:t>4.甲方未按合同规定的期限向乙方支付合同款的，每逾期 1 天甲方向乙方偿付欠款总额的</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‰违约金，但累计违约金总额不超过欠款总额的</w:t>
      </w:r>
      <w:r>
        <w:rPr>
          <w:rFonts w:hint="eastAsia" w:ascii="宋体" w:hAnsi="宋体"/>
          <w:snapToGrid w:val="0"/>
          <w:color w:val="auto"/>
          <w:kern w:val="0"/>
          <w:szCs w:val="21"/>
          <w:u w:val="single"/>
        </w:rPr>
        <w:t xml:space="preserve">    </w:t>
      </w:r>
      <w:r>
        <w:rPr>
          <w:rFonts w:hint="eastAsia" w:ascii="宋体" w:hAnsi="宋体"/>
          <w:snapToGrid w:val="0"/>
          <w:color w:val="auto"/>
          <w:kern w:val="0"/>
          <w:szCs w:val="21"/>
        </w:rPr>
        <w:t>％。</w:t>
      </w:r>
    </w:p>
    <w:p>
      <w:pPr>
        <w:spacing w:line="360" w:lineRule="auto"/>
        <w:rPr>
          <w:color w:val="auto"/>
        </w:rPr>
      </w:pPr>
      <w:r>
        <w:rPr>
          <w:rFonts w:hint="eastAsia" w:ascii="宋体" w:hAnsi="宋体"/>
          <w:snapToGrid w:val="0"/>
          <w:color w:val="auto"/>
          <w:kern w:val="0"/>
          <w:szCs w:val="21"/>
        </w:rPr>
        <w:t>5.其它未尽事宜，以《合同法》和《政府采购法》等有关法律法规规定为准，无相关规定的，双方协商解决。</w:t>
      </w:r>
    </w:p>
    <w:p>
      <w:pPr>
        <w:spacing w:line="360" w:lineRule="auto"/>
        <w:ind w:hanging="84"/>
        <w:outlineLvl w:val="0"/>
        <w:rPr>
          <w:b/>
          <w:color w:val="auto"/>
        </w:rPr>
      </w:pPr>
      <w:r>
        <w:rPr>
          <w:rFonts w:hint="eastAsia"/>
          <w:b/>
          <w:color w:val="auto"/>
        </w:rPr>
        <w:t>八、提出异议的时间和方法</w:t>
      </w:r>
    </w:p>
    <w:p>
      <w:pPr>
        <w:spacing w:line="360" w:lineRule="auto"/>
        <w:ind w:left="314" w:hanging="314" w:hangingChars="149"/>
        <w:rPr>
          <w:color w:val="auto"/>
        </w:rPr>
      </w:pPr>
      <w:r>
        <w:rPr>
          <w:b/>
          <w:color w:val="auto"/>
        </w:rPr>
        <w:t xml:space="preserve">1. </w:t>
      </w:r>
      <w:r>
        <w:rPr>
          <w:rFonts w:hint="eastAsia"/>
          <w:color w:val="auto"/>
        </w:rPr>
        <w:t>甲方在服务过程有异议时，</w:t>
      </w:r>
      <w:r>
        <w:rPr>
          <w:color w:val="auto"/>
        </w:rPr>
        <w:t>5</w:t>
      </w:r>
      <w:r>
        <w:rPr>
          <w:rFonts w:hint="eastAsia"/>
          <w:color w:val="auto"/>
        </w:rPr>
        <w:t>天内向乙方提出书面异议。</w:t>
      </w:r>
    </w:p>
    <w:p>
      <w:pPr>
        <w:spacing w:line="360" w:lineRule="auto"/>
        <w:ind w:left="422" w:hanging="422" w:hangingChars="200"/>
        <w:rPr>
          <w:color w:val="auto"/>
        </w:rPr>
      </w:pPr>
      <w:r>
        <w:rPr>
          <w:b/>
          <w:color w:val="auto"/>
        </w:rPr>
        <w:t xml:space="preserve">2. </w:t>
      </w:r>
      <w:r>
        <w:rPr>
          <w:rFonts w:hint="eastAsia"/>
          <w:color w:val="auto"/>
        </w:rPr>
        <w:t>乙方在接到甲方书面异议后，应在</w:t>
      </w:r>
      <w:r>
        <w:rPr>
          <w:color w:val="auto"/>
        </w:rPr>
        <w:t>2</w:t>
      </w:r>
      <w:r>
        <w:rPr>
          <w:rFonts w:hint="eastAsia"/>
          <w:color w:val="auto"/>
        </w:rPr>
        <w:t>天内负责处理并函复甲方处理情况。</w:t>
      </w:r>
    </w:p>
    <w:p>
      <w:pPr>
        <w:spacing w:line="360" w:lineRule="auto"/>
        <w:outlineLvl w:val="0"/>
        <w:rPr>
          <w:b/>
          <w:color w:val="auto"/>
        </w:rPr>
      </w:pPr>
      <w:r>
        <w:rPr>
          <w:rFonts w:hint="eastAsia"/>
          <w:b/>
          <w:color w:val="auto"/>
        </w:rPr>
        <w:t>九、争议的解决</w:t>
      </w:r>
    </w:p>
    <w:p>
      <w:pPr>
        <w:spacing w:line="440" w:lineRule="exact"/>
        <w:ind w:firstLine="315" w:firstLineChars="150"/>
        <w:rPr>
          <w:color w:val="auto"/>
        </w:rPr>
      </w:pPr>
      <w:r>
        <w:rPr>
          <w:rFonts w:hint="eastAsia"/>
          <w:color w:val="auto"/>
        </w:rPr>
        <w:t>本合同在履行中如发生争议，由双方当事人协商解决，协商不成的，依法向合同履行地人民法院起诉。</w:t>
      </w:r>
    </w:p>
    <w:p>
      <w:pPr>
        <w:spacing w:line="360" w:lineRule="auto"/>
        <w:rPr>
          <w:color w:val="auto"/>
        </w:rPr>
      </w:pPr>
    </w:p>
    <w:p>
      <w:pPr>
        <w:spacing w:line="360" w:lineRule="auto"/>
        <w:ind w:hanging="84"/>
        <w:outlineLvl w:val="0"/>
        <w:rPr>
          <w:b/>
          <w:color w:val="auto"/>
        </w:rPr>
      </w:pPr>
      <w:r>
        <w:rPr>
          <w:rFonts w:hint="eastAsia"/>
          <w:b/>
          <w:color w:val="auto"/>
        </w:rPr>
        <w:t>十、不可抗力</w:t>
      </w:r>
    </w:p>
    <w:p>
      <w:pPr>
        <w:spacing w:line="360" w:lineRule="auto"/>
        <w:ind w:firstLine="480"/>
        <w:rPr>
          <w:color w:val="auto"/>
        </w:rPr>
      </w:pPr>
      <w:r>
        <w:rPr>
          <w:rFonts w:hint="eastAsia"/>
          <w:color w:val="auto"/>
        </w:rPr>
        <w:t>任何一方由于不可抗力原因不能履行合同时，应在不可抗力事件结束后</w:t>
      </w:r>
      <w:r>
        <w:rPr>
          <w:color w:val="auto"/>
        </w:rPr>
        <w:t>1</w:t>
      </w:r>
      <w:r>
        <w:rPr>
          <w:rFonts w:hint="eastAsia"/>
          <w:color w:val="auto"/>
        </w:rPr>
        <w:t>天内向对方通报，以减轻可能给对方造成的损失，在取得有关机构的不可抗力证明或双方谅解确认后，允许延期履行或修订合同，并根据情况可部分或全部免于承担违约责任。</w:t>
      </w:r>
    </w:p>
    <w:p>
      <w:pPr>
        <w:spacing w:line="360" w:lineRule="auto"/>
        <w:rPr>
          <w:color w:val="auto"/>
        </w:rPr>
      </w:pPr>
    </w:p>
    <w:p>
      <w:pPr>
        <w:spacing w:line="360" w:lineRule="auto"/>
        <w:outlineLvl w:val="0"/>
        <w:rPr>
          <w:b/>
          <w:color w:val="auto"/>
        </w:rPr>
      </w:pPr>
      <w:r>
        <w:rPr>
          <w:rFonts w:hint="eastAsia"/>
          <w:b/>
          <w:color w:val="auto"/>
        </w:rPr>
        <w:t>十一、税费</w:t>
      </w:r>
    </w:p>
    <w:p>
      <w:pPr>
        <w:numPr>
          <w:ilvl w:val="0"/>
          <w:numId w:val="28"/>
        </w:numPr>
        <w:tabs>
          <w:tab w:val="left" w:pos="360"/>
        </w:tabs>
        <w:spacing w:line="360" w:lineRule="auto"/>
        <w:rPr>
          <w:color w:val="auto"/>
        </w:rPr>
      </w:pPr>
      <w:r>
        <w:rPr>
          <w:rFonts w:hint="eastAsia"/>
          <w:color w:val="auto"/>
        </w:rPr>
        <w:t>中国政府根据现行税法所征收的一切税费均由各缴税责任方独立承担。</w:t>
      </w:r>
    </w:p>
    <w:p>
      <w:pPr>
        <w:tabs>
          <w:tab w:val="left" w:pos="824"/>
        </w:tabs>
        <w:spacing w:line="360" w:lineRule="auto"/>
        <w:ind w:left="630" w:hanging="630"/>
        <w:rPr>
          <w:color w:val="auto"/>
        </w:rPr>
      </w:pPr>
      <w:r>
        <w:rPr>
          <w:b/>
          <w:color w:val="auto"/>
        </w:rPr>
        <w:t>2.</w:t>
      </w:r>
      <w:r>
        <w:rPr>
          <w:rFonts w:hint="eastAsia"/>
          <w:color w:val="auto"/>
        </w:rPr>
        <w:t>在中国境外发生的与本合同相关的一切税费及不可预见费均由甲方负担。</w:t>
      </w:r>
    </w:p>
    <w:p>
      <w:pPr>
        <w:pStyle w:val="7"/>
        <w:rPr>
          <w:color w:val="auto"/>
        </w:rPr>
      </w:pPr>
    </w:p>
    <w:p>
      <w:pPr>
        <w:spacing w:line="360" w:lineRule="auto"/>
        <w:outlineLvl w:val="0"/>
        <w:rPr>
          <w:b/>
          <w:color w:val="auto"/>
        </w:rPr>
      </w:pPr>
      <w:r>
        <w:rPr>
          <w:rFonts w:hint="eastAsia"/>
          <w:b/>
          <w:color w:val="auto"/>
        </w:rPr>
        <w:t>十二、合同生效</w:t>
      </w:r>
    </w:p>
    <w:p>
      <w:pPr>
        <w:tabs>
          <w:tab w:val="left" w:pos="800"/>
        </w:tabs>
        <w:spacing w:line="360" w:lineRule="auto"/>
        <w:ind w:firstLine="420" w:firstLineChars="200"/>
        <w:rPr>
          <w:color w:val="auto"/>
        </w:rPr>
      </w:pPr>
      <w:r>
        <w:rPr>
          <w:rFonts w:hint="eastAsia"/>
          <w:color w:val="auto"/>
        </w:rPr>
        <w:t>本合同在甲方、乙方、采购代理机构叁方法人代表或其授权代理人签字盖章之日起生效。</w:t>
      </w:r>
    </w:p>
    <w:p>
      <w:pPr>
        <w:spacing w:line="360" w:lineRule="auto"/>
        <w:rPr>
          <w:color w:val="auto"/>
        </w:rPr>
      </w:pPr>
    </w:p>
    <w:p>
      <w:pPr>
        <w:spacing w:line="360" w:lineRule="auto"/>
        <w:ind w:left="840" w:hanging="840"/>
        <w:outlineLvl w:val="0"/>
        <w:rPr>
          <w:b/>
          <w:color w:val="auto"/>
        </w:rPr>
      </w:pPr>
      <w:r>
        <w:rPr>
          <w:rFonts w:hint="eastAsia"/>
          <w:b/>
          <w:color w:val="auto"/>
        </w:rPr>
        <w:t>十三、其它</w:t>
      </w:r>
    </w:p>
    <w:p>
      <w:pPr>
        <w:spacing w:line="360" w:lineRule="auto"/>
        <w:ind w:left="314" w:hanging="314" w:hangingChars="149"/>
        <w:rPr>
          <w:color w:val="auto"/>
        </w:rPr>
      </w:pPr>
      <w:r>
        <w:rPr>
          <w:b/>
          <w:color w:val="auto"/>
        </w:rPr>
        <w:t>1.</w:t>
      </w:r>
      <w:r>
        <w:rPr>
          <w:rFonts w:hint="eastAsia"/>
          <w:color w:val="auto"/>
        </w:rPr>
        <w:t>所有经双方或多方签署确认的文件（包括会议纪要、补充协议、往来信函）、采购文件和响应承诺文件、合同的附件及《中标通知书》均为本合同不可分割的有效组成部分，与本合同具有同等的法律效力和履约义务，其生效日期为签字盖章确认之日期。</w:t>
      </w:r>
    </w:p>
    <w:p>
      <w:pPr>
        <w:spacing w:line="360" w:lineRule="auto"/>
        <w:ind w:left="314" w:hanging="314" w:hangingChars="149"/>
        <w:rPr>
          <w:color w:val="auto"/>
        </w:rPr>
      </w:pPr>
      <w:r>
        <w:rPr>
          <w:b/>
          <w:color w:val="auto"/>
        </w:rPr>
        <w:t xml:space="preserve">2. </w:t>
      </w:r>
      <w:r>
        <w:rPr>
          <w:rFonts w:hint="eastAsia"/>
          <w:color w:val="auto"/>
        </w:rPr>
        <w:t>如一方地址、电话、传真号码有变更，应在变更当日内书面通知对方，否则，应承担相应责任。</w:t>
      </w:r>
    </w:p>
    <w:p>
      <w:pPr>
        <w:spacing w:line="360" w:lineRule="auto"/>
        <w:ind w:left="211" w:hanging="211" w:hangingChars="100"/>
        <w:rPr>
          <w:b/>
          <w:color w:val="auto"/>
        </w:rPr>
      </w:pPr>
      <w:r>
        <w:rPr>
          <w:b/>
          <w:color w:val="auto"/>
        </w:rPr>
        <w:t xml:space="preserve">3. </w:t>
      </w:r>
      <w:r>
        <w:rPr>
          <w:rFonts w:hint="eastAsia"/>
          <w:bCs/>
          <w:color w:val="auto"/>
        </w:rPr>
        <w:t>未经</w:t>
      </w:r>
      <w:r>
        <w:rPr>
          <w:rFonts w:hint="eastAsia"/>
          <w:color w:val="auto"/>
        </w:rPr>
        <w:t>甲方书面同意，乙方不得擅自向第三方转让其应履行的合同项下的义务。</w:t>
      </w:r>
    </w:p>
    <w:p>
      <w:pPr>
        <w:spacing w:line="360" w:lineRule="auto"/>
        <w:rPr>
          <w:color w:val="auto"/>
        </w:rPr>
      </w:pPr>
      <w:r>
        <w:rPr>
          <w:color w:val="auto"/>
        </w:rPr>
        <w:t>4.</w:t>
      </w:r>
      <w:r>
        <w:rPr>
          <w:rFonts w:hint="eastAsia"/>
          <w:color w:val="auto"/>
        </w:rPr>
        <w:t>本合同一式五份，甲方、乙方各执两份，招标代理机构执一份。</w:t>
      </w:r>
    </w:p>
    <w:p>
      <w:pPr>
        <w:spacing w:line="360" w:lineRule="auto"/>
        <w:ind w:left="630" w:hanging="630"/>
        <w:rPr>
          <w:b/>
          <w:color w:val="auto"/>
        </w:rPr>
      </w:pPr>
      <w:r>
        <w:rPr>
          <w:b/>
          <w:color w:val="auto"/>
        </w:rPr>
        <w:t xml:space="preserve">5. </w:t>
      </w:r>
      <w:r>
        <w:rPr>
          <w:rFonts w:hint="eastAsia"/>
          <w:color w:val="auto"/>
        </w:rPr>
        <w:t>本合同共计页</w:t>
      </w:r>
      <w:r>
        <w:rPr>
          <w:color w:val="auto"/>
        </w:rPr>
        <w:t>A4</w:t>
      </w:r>
      <w:r>
        <w:rPr>
          <w:rFonts w:hint="eastAsia"/>
          <w:color w:val="auto"/>
        </w:rPr>
        <w:t>纸张，缺页之合同为无效合同。</w:t>
      </w:r>
    </w:p>
    <w:p>
      <w:pPr>
        <w:spacing w:line="360" w:lineRule="auto"/>
        <w:rPr>
          <w:color w:val="auto"/>
        </w:rPr>
      </w:pPr>
      <w:r>
        <w:rPr>
          <w:b/>
          <w:bCs/>
          <w:color w:val="auto"/>
        </w:rPr>
        <w:t xml:space="preserve">6. </w:t>
      </w:r>
      <w:r>
        <w:rPr>
          <w:rFonts w:hint="eastAsia"/>
          <w:color w:val="auto"/>
        </w:rPr>
        <w:t>本合同签约履约地点：广东省佛山市高明区。</w:t>
      </w:r>
    </w:p>
    <w:p>
      <w:pPr>
        <w:spacing w:line="360" w:lineRule="auto"/>
        <w:rPr>
          <w:b/>
          <w:color w:val="auto"/>
        </w:rPr>
      </w:pPr>
    </w:p>
    <w:p>
      <w:pPr>
        <w:spacing w:line="360" w:lineRule="auto"/>
        <w:rPr>
          <w:b/>
          <w:color w:val="auto"/>
        </w:rPr>
      </w:pPr>
      <w:r>
        <w:rPr>
          <w:rFonts w:hint="eastAsia"/>
          <w:b/>
          <w:color w:val="auto"/>
        </w:rPr>
        <w:t>买方（盖章）：卖方（盖章）：</w:t>
      </w:r>
    </w:p>
    <w:p>
      <w:pPr>
        <w:spacing w:line="360" w:lineRule="auto"/>
        <w:rPr>
          <w:color w:val="auto"/>
        </w:rPr>
      </w:pPr>
      <w:r>
        <w:rPr>
          <w:rFonts w:hint="eastAsia"/>
          <w:color w:val="auto"/>
        </w:rPr>
        <w:t>法人代表或授权代理人（签字）：法人代表或授权代理人（签字）：</w:t>
      </w:r>
    </w:p>
    <w:p>
      <w:pPr>
        <w:spacing w:line="360" w:lineRule="auto"/>
        <w:rPr>
          <w:color w:val="auto"/>
          <w:u w:val="single"/>
        </w:rPr>
      </w:pPr>
    </w:p>
    <w:p>
      <w:pPr>
        <w:spacing w:line="360" w:lineRule="auto"/>
        <w:rPr>
          <w:color w:val="auto"/>
          <w:u w:val="single"/>
        </w:rPr>
      </w:pPr>
    </w:p>
    <w:p>
      <w:pPr>
        <w:spacing w:line="360" w:lineRule="auto"/>
        <w:rPr>
          <w:color w:val="auto"/>
        </w:rPr>
      </w:pPr>
      <w:r>
        <w:rPr>
          <w:rFonts w:hint="eastAsia"/>
          <w:color w:val="auto"/>
        </w:rPr>
        <w:t>地址：地址：</w:t>
      </w:r>
    </w:p>
    <w:p>
      <w:pPr>
        <w:spacing w:line="360" w:lineRule="auto"/>
        <w:rPr>
          <w:color w:val="auto"/>
        </w:rPr>
      </w:pPr>
      <w:r>
        <w:rPr>
          <w:rFonts w:hint="eastAsia"/>
          <w:color w:val="auto"/>
        </w:rPr>
        <w:t>电话：电话：</w:t>
      </w:r>
    </w:p>
    <w:p>
      <w:pPr>
        <w:spacing w:line="360" w:lineRule="auto"/>
        <w:rPr>
          <w:color w:val="auto"/>
        </w:rPr>
      </w:pPr>
      <w:r>
        <w:rPr>
          <w:rFonts w:hint="eastAsia"/>
          <w:color w:val="auto"/>
        </w:rPr>
        <w:t>传真：传真：</w:t>
      </w:r>
    </w:p>
    <w:p>
      <w:pPr>
        <w:spacing w:line="360" w:lineRule="auto"/>
        <w:rPr>
          <w:color w:val="auto"/>
        </w:rPr>
      </w:pPr>
      <w:r>
        <w:rPr>
          <w:rFonts w:hint="eastAsia"/>
          <w:color w:val="auto"/>
        </w:rPr>
        <w:t>日期：年月日日期：年月日</w:t>
      </w:r>
    </w:p>
    <w:p>
      <w:pPr>
        <w:spacing w:line="360" w:lineRule="auto"/>
        <w:ind w:firstLine="5520"/>
        <w:rPr>
          <w:color w:val="auto"/>
        </w:rPr>
      </w:pPr>
      <w:r>
        <w:rPr>
          <w:rFonts w:hint="eastAsia"/>
          <w:color w:val="auto"/>
        </w:rPr>
        <w:t>收款专户如下</w:t>
      </w:r>
    </w:p>
    <w:p>
      <w:pPr>
        <w:spacing w:line="360" w:lineRule="auto"/>
        <w:ind w:firstLine="5520"/>
        <w:rPr>
          <w:color w:val="auto"/>
        </w:rPr>
      </w:pPr>
      <w:r>
        <w:rPr>
          <w:rFonts w:hint="eastAsia"/>
          <w:color w:val="auto"/>
        </w:rPr>
        <w:t>开户名称：</w:t>
      </w:r>
    </w:p>
    <w:p>
      <w:pPr>
        <w:spacing w:line="360" w:lineRule="auto"/>
        <w:ind w:firstLine="5520"/>
        <w:rPr>
          <w:color w:val="auto"/>
        </w:rPr>
      </w:pPr>
      <w:r>
        <w:rPr>
          <w:rFonts w:hint="eastAsia"/>
          <w:color w:val="auto"/>
        </w:rPr>
        <w:t>银行帐号：</w:t>
      </w:r>
    </w:p>
    <w:p>
      <w:pPr>
        <w:spacing w:line="360" w:lineRule="auto"/>
        <w:ind w:firstLine="5520"/>
        <w:rPr>
          <w:color w:val="auto"/>
        </w:rPr>
      </w:pPr>
      <w:r>
        <w:rPr>
          <w:rFonts w:hint="eastAsia"/>
          <w:color w:val="auto"/>
        </w:rPr>
        <w:t>开户行：</w:t>
      </w:r>
    </w:p>
    <w:p>
      <w:pPr>
        <w:spacing w:line="360" w:lineRule="auto"/>
        <w:ind w:firstLine="5520"/>
        <w:rPr>
          <w:color w:val="auto"/>
        </w:rPr>
      </w:pPr>
    </w:p>
    <w:p>
      <w:pPr>
        <w:spacing w:line="360" w:lineRule="auto"/>
        <w:rPr>
          <w:b/>
          <w:bCs/>
          <w:color w:val="auto"/>
        </w:rPr>
      </w:pPr>
      <w:r>
        <w:rPr>
          <w:rFonts w:hint="eastAsia"/>
          <w:b/>
          <w:bCs/>
          <w:color w:val="auto"/>
        </w:rPr>
        <w:t>采购代理机构：</w:t>
      </w:r>
      <w:r>
        <w:rPr>
          <w:rFonts w:hint="eastAsia"/>
          <w:color w:val="auto"/>
        </w:rPr>
        <w:t>广东熙泽企业管理有限公司</w:t>
      </w:r>
    </w:p>
    <w:p>
      <w:pPr>
        <w:spacing w:line="360" w:lineRule="auto"/>
        <w:rPr>
          <w:color w:val="auto"/>
          <w:u w:val="single"/>
        </w:rPr>
      </w:pPr>
      <w:r>
        <w:rPr>
          <w:rFonts w:hint="eastAsia"/>
          <w:color w:val="auto"/>
        </w:rPr>
        <w:t>合同见证人：</w:t>
      </w:r>
    </w:p>
    <w:p>
      <w:pPr>
        <w:spacing w:line="360" w:lineRule="auto"/>
        <w:rPr>
          <w:color w:val="auto"/>
        </w:rPr>
      </w:pPr>
      <w:r>
        <w:rPr>
          <w:rFonts w:hint="eastAsia"/>
          <w:color w:val="auto"/>
        </w:rPr>
        <w:t xml:space="preserve">电话： </w:t>
      </w:r>
    </w:p>
    <w:p>
      <w:pPr>
        <w:spacing w:line="360" w:lineRule="auto"/>
        <w:rPr>
          <w:color w:val="auto"/>
        </w:rPr>
      </w:pPr>
      <w:r>
        <w:rPr>
          <w:rFonts w:hint="eastAsia"/>
          <w:color w:val="auto"/>
        </w:rPr>
        <w:t>合同见证日期：年月日</w:t>
      </w:r>
    </w:p>
    <w:p>
      <w:pPr>
        <w:spacing w:line="360" w:lineRule="auto"/>
        <w:rPr>
          <w:b/>
          <w:color w:val="auto"/>
          <w:spacing w:val="40"/>
        </w:rPr>
      </w:pPr>
      <w:r>
        <w:rPr>
          <w:rFonts w:hint="eastAsia"/>
          <w:b/>
          <w:color w:val="auto"/>
          <w:spacing w:val="40"/>
        </w:rPr>
        <w:t>合同附件清单</w:t>
      </w:r>
    </w:p>
    <w:p>
      <w:pPr>
        <w:spacing w:line="360" w:lineRule="auto"/>
        <w:ind w:left="945" w:hanging="945"/>
        <w:rPr>
          <w:color w:val="auto"/>
        </w:rPr>
      </w:pPr>
      <w:r>
        <w:rPr>
          <w:rFonts w:hint="eastAsia"/>
          <w:color w:val="auto"/>
        </w:rPr>
        <w:t>（附后）</w:t>
      </w:r>
    </w:p>
    <w:p>
      <w:pPr>
        <w:spacing w:line="360" w:lineRule="auto"/>
        <w:rPr>
          <w:color w:val="auto"/>
        </w:rPr>
      </w:pPr>
      <w:r>
        <w:rPr>
          <w:rFonts w:hint="eastAsia"/>
          <w:color w:val="auto"/>
        </w:rPr>
        <w:t>附注：</w:t>
      </w:r>
    </w:p>
    <w:p>
      <w:pPr>
        <w:numPr>
          <w:ilvl w:val="0"/>
          <w:numId w:val="29"/>
        </w:numPr>
        <w:tabs>
          <w:tab w:val="left" w:pos="360"/>
        </w:tabs>
        <w:spacing w:line="360" w:lineRule="auto"/>
        <w:rPr>
          <w:color w:val="auto"/>
        </w:rPr>
      </w:pPr>
      <w:r>
        <w:rPr>
          <w:rFonts w:hint="eastAsia"/>
          <w:color w:val="auto"/>
        </w:rPr>
        <w:t>本合同所有条款均在签订合同时编制，确定合同内容依据为招标文件和卖方的投标文件及相关确认文件；</w:t>
      </w:r>
    </w:p>
    <w:p>
      <w:pPr>
        <w:spacing w:line="360" w:lineRule="auto"/>
        <w:rPr>
          <w:b/>
          <w:color w:val="auto"/>
          <w:sz w:val="52"/>
        </w:rPr>
      </w:pPr>
      <w:r>
        <w:rPr>
          <w:rFonts w:hint="eastAsia"/>
          <w:bCs/>
          <w:color w:val="auto"/>
        </w:rPr>
        <w:t>项目重要内容（如：双方权利义务、功能要求说明等）可作为附件</w:t>
      </w:r>
      <w:r>
        <w:rPr>
          <w:rFonts w:hint="eastAsia"/>
          <w:color w:val="auto"/>
        </w:rPr>
        <w:t>；</w:t>
      </w:r>
    </w:p>
    <w:p>
      <w:pPr>
        <w:spacing w:line="360" w:lineRule="auto"/>
        <w:ind w:firstLine="3534" w:firstLineChars="1100"/>
        <w:outlineLvl w:val="0"/>
        <w:rPr>
          <w:b/>
          <w:color w:val="auto"/>
          <w:kern w:val="44"/>
          <w:sz w:val="32"/>
          <w:szCs w:val="20"/>
        </w:rPr>
      </w:pPr>
    </w:p>
    <w:p>
      <w:pPr>
        <w:spacing w:line="360" w:lineRule="auto"/>
        <w:ind w:firstLine="3534" w:firstLineChars="1100"/>
        <w:outlineLvl w:val="0"/>
        <w:rPr>
          <w:b/>
          <w:color w:val="auto"/>
          <w:kern w:val="44"/>
          <w:sz w:val="32"/>
          <w:szCs w:val="20"/>
        </w:rPr>
      </w:pPr>
    </w:p>
    <w:p>
      <w:pPr>
        <w:spacing w:line="360" w:lineRule="auto"/>
        <w:ind w:firstLine="3534" w:firstLineChars="1100"/>
        <w:outlineLvl w:val="0"/>
        <w:rPr>
          <w:b/>
          <w:color w:val="auto"/>
          <w:kern w:val="44"/>
          <w:sz w:val="32"/>
          <w:szCs w:val="20"/>
        </w:rPr>
      </w:pPr>
    </w:p>
    <w:p>
      <w:pPr>
        <w:spacing w:line="360" w:lineRule="auto"/>
        <w:ind w:firstLine="3534" w:firstLineChars="1100"/>
        <w:outlineLvl w:val="0"/>
        <w:rPr>
          <w:b/>
          <w:color w:val="auto"/>
          <w:kern w:val="44"/>
          <w:sz w:val="32"/>
          <w:szCs w:val="20"/>
        </w:rPr>
      </w:pPr>
    </w:p>
    <w:p>
      <w:pPr>
        <w:spacing w:line="360" w:lineRule="auto"/>
        <w:ind w:firstLine="3534" w:firstLineChars="1100"/>
        <w:outlineLvl w:val="0"/>
        <w:rPr>
          <w:b/>
          <w:color w:val="auto"/>
          <w:kern w:val="44"/>
          <w:sz w:val="32"/>
          <w:szCs w:val="20"/>
        </w:rPr>
      </w:pPr>
    </w:p>
    <w:p>
      <w:pPr>
        <w:spacing w:line="360" w:lineRule="auto"/>
        <w:ind w:firstLine="3534" w:firstLineChars="1100"/>
        <w:outlineLvl w:val="0"/>
        <w:rPr>
          <w:b/>
          <w:color w:val="auto"/>
          <w:kern w:val="44"/>
          <w:sz w:val="32"/>
          <w:szCs w:val="20"/>
        </w:rPr>
      </w:pPr>
    </w:p>
    <w:p>
      <w:pPr>
        <w:pStyle w:val="2"/>
        <w:rPr>
          <w:color w:val="auto"/>
        </w:rPr>
      </w:pPr>
    </w:p>
    <w:p>
      <w:pPr>
        <w:spacing w:line="360" w:lineRule="auto"/>
        <w:ind w:firstLine="3534" w:firstLineChars="1100"/>
        <w:outlineLvl w:val="0"/>
        <w:rPr>
          <w:b/>
          <w:color w:val="auto"/>
          <w:kern w:val="44"/>
          <w:sz w:val="32"/>
          <w:szCs w:val="20"/>
        </w:rPr>
      </w:pPr>
    </w:p>
    <w:p>
      <w:pPr>
        <w:spacing w:line="360" w:lineRule="auto"/>
        <w:ind w:firstLine="3534" w:firstLineChars="1100"/>
        <w:outlineLvl w:val="0"/>
        <w:rPr>
          <w:color w:val="auto"/>
        </w:rPr>
      </w:pPr>
      <w:r>
        <w:rPr>
          <w:rFonts w:hint="eastAsia"/>
          <w:b/>
          <w:color w:val="auto"/>
          <w:kern w:val="44"/>
          <w:sz w:val="32"/>
          <w:szCs w:val="20"/>
        </w:rPr>
        <w:t>第六章 响应文件格式</w:t>
      </w:r>
      <w:bookmarkEnd w:id="200"/>
      <w:bookmarkEnd w:id="201"/>
      <w:bookmarkEnd w:id="202"/>
      <w:bookmarkEnd w:id="203"/>
      <w:bookmarkEnd w:id="204"/>
    </w:p>
    <w:p>
      <w:pPr>
        <w:pStyle w:val="4"/>
        <w:keepNext w:val="0"/>
        <w:keepLines w:val="0"/>
        <w:widowControl/>
        <w:spacing w:before="188" w:after="188" w:line="400" w:lineRule="exact"/>
        <w:jc w:val="center"/>
        <w:rPr>
          <w:rFonts w:hAnsi="宋体"/>
          <w:bCs/>
          <w:color w:val="auto"/>
        </w:rPr>
      </w:pPr>
      <w:bookmarkStart w:id="205" w:name="_Hlt494257941"/>
      <w:bookmarkEnd w:id="205"/>
      <w:bookmarkStart w:id="206" w:name="_Toc16133"/>
      <w:bookmarkStart w:id="207" w:name="_Toc469663685"/>
      <w:bookmarkStart w:id="208" w:name="_Toc8968"/>
      <w:bookmarkStart w:id="209" w:name="_Toc25311"/>
      <w:bookmarkStart w:id="210" w:name="_Toc9291"/>
      <w:bookmarkStart w:id="211" w:name="_Toc30920"/>
      <w:bookmarkStart w:id="212" w:name="_Toc18935127"/>
      <w:bookmarkStart w:id="213" w:name="_Toc18934985"/>
      <w:bookmarkStart w:id="214" w:name="_Toc426557865"/>
      <w:bookmarkStart w:id="215" w:name="_Toc484827212"/>
      <w:bookmarkStart w:id="216" w:name="_Toc52423752"/>
      <w:bookmarkStart w:id="217" w:name="_Toc506611814"/>
      <w:bookmarkStart w:id="218" w:name="_Toc506611606"/>
      <w:bookmarkStart w:id="219" w:name="_Toc494875415"/>
      <w:bookmarkStart w:id="220" w:name="_Toc12118375"/>
      <w:bookmarkStart w:id="221" w:name="_Toc506628557"/>
      <w:bookmarkStart w:id="222" w:name="_Toc484848557"/>
      <w:bookmarkStart w:id="223" w:name="_Toc490832205"/>
      <w:bookmarkStart w:id="224" w:name="_Toc517502637"/>
      <w:bookmarkStart w:id="225" w:name="_Toc108597124"/>
      <w:bookmarkStart w:id="226" w:name="_Toc307826683"/>
      <w:bookmarkStart w:id="227" w:name="_Toc307826054"/>
      <w:r>
        <w:rPr>
          <w:rFonts w:hint="eastAsia" w:hAnsi="宋体"/>
          <w:bCs/>
          <w:color w:val="auto"/>
        </w:rPr>
        <w:t>第一章</w:t>
      </w:r>
      <w:bookmarkStart w:id="228" w:name="_Toc368513820"/>
      <w:r>
        <w:rPr>
          <w:rFonts w:hint="eastAsia" w:hAnsi="宋体"/>
          <w:bCs/>
          <w:color w:val="auto"/>
        </w:rPr>
        <w:t xml:space="preserve"> 目录</w:t>
      </w:r>
      <w:bookmarkEnd w:id="206"/>
      <w:bookmarkEnd w:id="207"/>
      <w:bookmarkEnd w:id="208"/>
      <w:bookmarkEnd w:id="209"/>
      <w:bookmarkEnd w:id="210"/>
      <w:bookmarkEnd w:id="211"/>
      <w:bookmarkEnd w:id="212"/>
      <w:bookmarkEnd w:id="213"/>
      <w:bookmarkEnd w:id="214"/>
      <w:bookmarkEnd w:id="228"/>
    </w:p>
    <w:tbl>
      <w:tblPr>
        <w:tblStyle w:val="37"/>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709"/>
        <w:gridCol w:w="5386"/>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9" w:hRule="atLeast"/>
        </w:trPr>
        <w:tc>
          <w:tcPr>
            <w:tcW w:w="1526" w:type="dxa"/>
            <w:tcBorders>
              <w:right w:val="single" w:color="auto" w:sz="4" w:space="0"/>
            </w:tcBorders>
            <w:vAlign w:val="center"/>
          </w:tcPr>
          <w:p>
            <w:pPr>
              <w:widowControl/>
              <w:spacing w:line="300" w:lineRule="exact"/>
              <w:jc w:val="center"/>
              <w:rPr>
                <w:rFonts w:ascii="宋体" w:hAnsi="宋体"/>
                <w:b/>
                <w:bCs/>
                <w:color w:val="auto"/>
              </w:rPr>
            </w:pPr>
            <w:r>
              <w:rPr>
                <w:rFonts w:hint="eastAsia" w:ascii="宋体" w:hAnsi="宋体"/>
                <w:b/>
                <w:bCs/>
                <w:color w:val="auto"/>
              </w:rPr>
              <w:t>类型名称</w:t>
            </w:r>
          </w:p>
        </w:tc>
        <w:tc>
          <w:tcPr>
            <w:tcW w:w="709" w:type="dxa"/>
            <w:tcBorders>
              <w:left w:val="single" w:color="auto" w:sz="4" w:space="0"/>
            </w:tcBorders>
            <w:vAlign w:val="center"/>
          </w:tcPr>
          <w:p>
            <w:pPr>
              <w:widowControl/>
              <w:spacing w:line="300" w:lineRule="exact"/>
              <w:jc w:val="center"/>
              <w:rPr>
                <w:rFonts w:ascii="宋体" w:hAnsi="宋体"/>
                <w:b/>
                <w:bCs/>
                <w:color w:val="auto"/>
              </w:rPr>
            </w:pPr>
            <w:r>
              <w:rPr>
                <w:rFonts w:hint="eastAsia" w:ascii="宋体" w:hAnsi="宋体"/>
                <w:b/>
                <w:bCs/>
                <w:color w:val="auto"/>
              </w:rPr>
              <w:t>序号</w:t>
            </w:r>
          </w:p>
        </w:tc>
        <w:tc>
          <w:tcPr>
            <w:tcW w:w="5386" w:type="dxa"/>
            <w:vAlign w:val="center"/>
          </w:tcPr>
          <w:p>
            <w:pPr>
              <w:widowControl/>
              <w:spacing w:line="300" w:lineRule="exact"/>
              <w:jc w:val="center"/>
              <w:rPr>
                <w:rFonts w:ascii="宋体" w:hAnsi="宋体"/>
                <w:b/>
                <w:bCs/>
                <w:color w:val="auto"/>
              </w:rPr>
            </w:pPr>
            <w:r>
              <w:rPr>
                <w:rFonts w:hint="eastAsia" w:ascii="宋体" w:hAnsi="宋体"/>
                <w:b/>
                <w:bCs/>
                <w:color w:val="auto"/>
              </w:rPr>
              <w:t>文件名称</w:t>
            </w:r>
          </w:p>
        </w:tc>
        <w:tc>
          <w:tcPr>
            <w:tcW w:w="1134" w:type="dxa"/>
            <w:tcBorders>
              <w:right w:val="single" w:color="auto" w:sz="4" w:space="0"/>
            </w:tcBorders>
            <w:vAlign w:val="center"/>
          </w:tcPr>
          <w:p>
            <w:pPr>
              <w:widowControl/>
              <w:spacing w:line="300" w:lineRule="exact"/>
              <w:jc w:val="center"/>
              <w:rPr>
                <w:rFonts w:ascii="宋体" w:hAnsi="宋体"/>
                <w:b/>
                <w:bCs/>
                <w:color w:val="auto"/>
              </w:rPr>
            </w:pPr>
            <w:r>
              <w:rPr>
                <w:rFonts w:hint="eastAsia" w:ascii="宋体" w:hAnsi="宋体"/>
                <w:b/>
                <w:bCs/>
                <w:color w:val="auto"/>
              </w:rPr>
              <w:t>页码</w:t>
            </w:r>
          </w:p>
        </w:tc>
        <w:tc>
          <w:tcPr>
            <w:tcW w:w="1134" w:type="dxa"/>
            <w:tcBorders>
              <w:left w:val="single" w:color="auto" w:sz="4" w:space="0"/>
            </w:tcBorders>
            <w:vAlign w:val="center"/>
          </w:tcPr>
          <w:p>
            <w:pPr>
              <w:widowControl/>
              <w:spacing w:line="300" w:lineRule="exact"/>
              <w:jc w:val="center"/>
              <w:rPr>
                <w:rFonts w:ascii="宋体" w:hAnsi="宋体"/>
                <w:b/>
                <w:bCs/>
                <w:color w:val="auto"/>
              </w:rPr>
            </w:pPr>
            <w:r>
              <w:rPr>
                <w:rFonts w:hint="eastAsia" w:ascii="宋体" w:hAnsi="宋体"/>
                <w:b/>
                <w:bCs/>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9" w:hRule="atLeast"/>
        </w:trPr>
        <w:tc>
          <w:tcPr>
            <w:tcW w:w="1526" w:type="dxa"/>
            <w:vMerge w:val="restart"/>
            <w:tcBorders>
              <w:right w:val="single" w:color="auto" w:sz="4" w:space="0"/>
            </w:tcBorders>
            <w:vAlign w:val="center"/>
          </w:tcPr>
          <w:p>
            <w:pPr>
              <w:widowControl/>
              <w:spacing w:line="300" w:lineRule="exact"/>
              <w:jc w:val="center"/>
              <w:rPr>
                <w:rFonts w:ascii="宋体" w:hAnsi="宋体"/>
                <w:b/>
                <w:bCs/>
                <w:color w:val="auto"/>
              </w:rPr>
            </w:pPr>
            <w:r>
              <w:rPr>
                <w:rFonts w:hint="eastAsia" w:ascii="宋体" w:hAnsi="宋体"/>
                <w:b/>
                <w:bCs/>
                <w:color w:val="auto"/>
              </w:rPr>
              <w:t>索引</w:t>
            </w:r>
          </w:p>
        </w:tc>
        <w:tc>
          <w:tcPr>
            <w:tcW w:w="709" w:type="dxa"/>
            <w:tcBorders>
              <w:left w:val="single" w:color="auto" w:sz="4" w:space="0"/>
            </w:tcBorders>
            <w:vAlign w:val="center"/>
          </w:tcPr>
          <w:p>
            <w:pPr>
              <w:widowControl/>
              <w:numPr>
                <w:ilvl w:val="0"/>
                <w:numId w:val="30"/>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szCs w:val="21"/>
              </w:rPr>
            </w:pPr>
            <w:r>
              <w:rPr>
                <w:rFonts w:ascii="宋体" w:hAnsi="宋体"/>
                <w:b/>
                <w:bCs/>
                <w:color w:val="auto"/>
                <w:szCs w:val="21"/>
              </w:rPr>
              <w:t>资格性</w:t>
            </w:r>
            <w:r>
              <w:rPr>
                <w:rFonts w:hint="eastAsia" w:ascii="宋体" w:hAnsi="宋体"/>
                <w:b/>
                <w:bCs/>
                <w:color w:val="auto"/>
                <w:szCs w:val="21"/>
              </w:rPr>
              <w:t>、</w:t>
            </w:r>
            <w:r>
              <w:rPr>
                <w:rFonts w:ascii="宋体" w:hAnsi="宋体"/>
                <w:b/>
                <w:bCs/>
                <w:color w:val="auto"/>
                <w:szCs w:val="21"/>
              </w:rPr>
              <w:t>符合性</w:t>
            </w:r>
            <w:r>
              <w:rPr>
                <w:rFonts w:hint="eastAsia" w:ascii="宋体" w:hAnsi="宋体"/>
                <w:b/>
                <w:bCs/>
                <w:color w:val="auto"/>
                <w:szCs w:val="21"/>
              </w:rPr>
              <w:t>审查</w:t>
            </w:r>
            <w:r>
              <w:rPr>
                <w:rFonts w:ascii="宋体" w:hAnsi="宋体"/>
                <w:b/>
                <w:bCs/>
                <w:color w:val="auto"/>
                <w:szCs w:val="21"/>
              </w:rPr>
              <w:t>自查表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9"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0"/>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ascii="宋体" w:hAnsi="宋体"/>
                <w:b/>
                <w:bCs/>
                <w:color w:val="auto"/>
                <w:szCs w:val="21"/>
              </w:rPr>
              <w:t>评审</w:t>
            </w:r>
            <w:r>
              <w:rPr>
                <w:rFonts w:hint="eastAsia" w:ascii="宋体" w:hAnsi="宋体"/>
                <w:b/>
                <w:bCs/>
                <w:color w:val="auto"/>
                <w:szCs w:val="21"/>
              </w:rPr>
              <w:t>要素响应</w:t>
            </w:r>
            <w:r>
              <w:rPr>
                <w:rFonts w:ascii="宋体" w:hAnsi="宋体"/>
                <w:b/>
                <w:bCs/>
                <w:color w:val="auto"/>
                <w:szCs w:val="21"/>
              </w:rPr>
              <w:t>资料</w:t>
            </w:r>
            <w:r>
              <w:rPr>
                <w:rFonts w:hint="eastAsia" w:ascii="宋体" w:hAnsi="宋体"/>
                <w:b/>
                <w:bCs/>
                <w:color w:val="auto"/>
                <w:szCs w:val="21"/>
              </w:rPr>
              <w:t>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restart"/>
            <w:tcBorders>
              <w:right w:val="single" w:color="auto" w:sz="4" w:space="0"/>
            </w:tcBorders>
            <w:vAlign w:val="center"/>
          </w:tcPr>
          <w:p>
            <w:pPr>
              <w:widowControl/>
              <w:spacing w:line="300" w:lineRule="exact"/>
              <w:jc w:val="center"/>
              <w:rPr>
                <w:rFonts w:ascii="宋体" w:hAnsi="宋体"/>
                <w:b/>
                <w:bCs/>
                <w:color w:val="auto"/>
              </w:rPr>
            </w:pPr>
            <w:r>
              <w:rPr>
                <w:rFonts w:hint="eastAsia" w:ascii="宋体" w:hAnsi="宋体"/>
                <w:b/>
                <w:bCs/>
                <w:color w:val="auto"/>
              </w:rPr>
              <w:t>资格审查文件</w:t>
            </w:r>
          </w:p>
          <w:p>
            <w:pPr>
              <w:widowControl/>
              <w:spacing w:line="300" w:lineRule="exact"/>
              <w:jc w:val="center"/>
              <w:rPr>
                <w:rFonts w:ascii="宋体" w:hAnsi="宋体"/>
                <w:b/>
                <w:bCs/>
                <w:color w:val="auto"/>
              </w:rPr>
            </w:pPr>
            <w:r>
              <w:rPr>
                <w:rFonts w:hint="eastAsia" w:ascii="宋体" w:hAnsi="宋体"/>
                <w:b/>
                <w:bCs/>
                <w:color w:val="auto"/>
              </w:rPr>
              <w:t>（加盖公章）</w:t>
            </w:r>
          </w:p>
        </w:tc>
        <w:tc>
          <w:tcPr>
            <w:tcW w:w="709" w:type="dxa"/>
            <w:tcBorders>
              <w:left w:val="single" w:color="auto" w:sz="4" w:space="0"/>
            </w:tcBorders>
            <w:vAlign w:val="center"/>
          </w:tcPr>
          <w:p>
            <w:pPr>
              <w:widowControl/>
              <w:numPr>
                <w:ilvl w:val="0"/>
                <w:numId w:val="31"/>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szCs w:val="21"/>
              </w:rPr>
            </w:pPr>
            <w:r>
              <w:rPr>
                <w:rFonts w:hint="eastAsia" w:ascii="宋体" w:hAnsi="宋体"/>
                <w:b/>
                <w:bCs/>
                <w:color w:val="auto"/>
                <w:szCs w:val="21"/>
              </w:rPr>
              <w:t>符合政府采购法第二十二条的声明函</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spacing w:line="300" w:lineRule="exact"/>
              <w:jc w:val="center"/>
              <w:rPr>
                <w:rFonts w:ascii="宋体" w:hAnsi="宋体"/>
                <w:bCs/>
                <w:color w:val="auto"/>
              </w:rPr>
            </w:pPr>
            <w:r>
              <w:rPr>
                <w:rFonts w:hint="eastAsia" w:ascii="宋体" w:hAnsi="宋体"/>
                <w:bCs/>
                <w:color w:val="auto"/>
              </w:rPr>
              <w:t>1.1</w:t>
            </w:r>
          </w:p>
        </w:tc>
        <w:tc>
          <w:tcPr>
            <w:tcW w:w="5386" w:type="dxa"/>
            <w:vAlign w:val="center"/>
          </w:tcPr>
          <w:p>
            <w:pPr>
              <w:widowControl/>
              <w:spacing w:line="300" w:lineRule="exact"/>
              <w:rPr>
                <w:rFonts w:ascii="宋体" w:hAnsi="宋体"/>
                <w:b/>
                <w:bCs/>
                <w:color w:val="auto"/>
                <w:szCs w:val="21"/>
              </w:rPr>
            </w:pPr>
            <w:r>
              <w:rPr>
                <w:rFonts w:hint="eastAsia" w:ascii="宋体" w:hAnsi="宋体"/>
                <w:b/>
                <w:bCs/>
                <w:color w:val="auto"/>
                <w:szCs w:val="21"/>
              </w:rPr>
              <w:t>营业执照或登记证副本复印件</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1"/>
              </w:numPr>
              <w:spacing w:line="300" w:lineRule="exact"/>
              <w:jc w:val="center"/>
              <w:rPr>
                <w:rFonts w:ascii="宋体" w:hAnsi="宋体"/>
                <w:bCs/>
                <w:color w:val="auto"/>
              </w:rPr>
            </w:pPr>
          </w:p>
        </w:tc>
        <w:tc>
          <w:tcPr>
            <w:tcW w:w="5386" w:type="dxa"/>
            <w:vAlign w:val="center"/>
          </w:tcPr>
          <w:p>
            <w:pPr>
              <w:widowControl/>
              <w:spacing w:line="300" w:lineRule="exact"/>
              <w:rPr>
                <w:rFonts w:ascii="宋体" w:hAnsi="宋体"/>
                <w:b/>
                <w:bCs/>
                <w:color w:val="auto"/>
                <w:szCs w:val="21"/>
              </w:rPr>
            </w:pPr>
            <w:r>
              <w:rPr>
                <w:rFonts w:hint="eastAsia" w:ascii="宋体" w:hAnsi="宋体"/>
                <w:b/>
                <w:bCs/>
                <w:color w:val="auto"/>
                <w:szCs w:val="21"/>
              </w:rPr>
              <w:t>符合“供应商资格”要求的其他证明文件</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restart"/>
            <w:tcBorders>
              <w:right w:val="single" w:color="auto" w:sz="4" w:space="0"/>
            </w:tcBorders>
            <w:vAlign w:val="center"/>
          </w:tcPr>
          <w:p>
            <w:pPr>
              <w:widowControl/>
              <w:spacing w:line="240" w:lineRule="atLeast"/>
              <w:jc w:val="center"/>
              <w:rPr>
                <w:rFonts w:ascii="宋体" w:hAnsi="宋体"/>
                <w:b/>
                <w:bCs/>
                <w:color w:val="auto"/>
              </w:rPr>
            </w:pPr>
            <w:r>
              <w:rPr>
                <w:rFonts w:hint="eastAsia" w:ascii="宋体" w:hAnsi="宋体"/>
                <w:b/>
                <w:bCs/>
                <w:color w:val="auto"/>
              </w:rPr>
              <w:t>商务部分</w:t>
            </w:r>
          </w:p>
          <w:p>
            <w:pPr>
              <w:widowControl/>
              <w:spacing w:line="240" w:lineRule="atLeast"/>
              <w:jc w:val="center"/>
              <w:rPr>
                <w:rFonts w:ascii="宋体" w:hAnsi="宋体"/>
                <w:b/>
                <w:bCs/>
                <w:color w:val="auto"/>
              </w:rPr>
            </w:pPr>
            <w:r>
              <w:rPr>
                <w:rFonts w:hint="eastAsia" w:ascii="宋体" w:hAnsi="宋体"/>
                <w:b/>
                <w:bCs/>
                <w:color w:val="auto"/>
              </w:rPr>
              <w:t>（加盖公章）</w:t>
            </w: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报价函</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法定代表人证明书或法定代表人授权委托书</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投标一览表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color w:val="auto"/>
                <w:szCs w:val="21"/>
              </w:rPr>
              <w:t>中小微企业声明函</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实质性响应一览表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color w:val="auto"/>
                <w:szCs w:val="21"/>
              </w:rPr>
              <w:t>磋商响应与磋商文件差异一览表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供应商基本情况表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项目经理/项目负责人简历表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拟为本项目配置的人员情况表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类似项目业绩一览表</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磋商保证金退还说明</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招标代理服务费承诺书</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hAnsi="宋体"/>
                <w:b/>
                <w:bCs/>
                <w:color w:val="auto"/>
              </w:rPr>
              <w:t>供应商认为必要的其他商务资料</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hAnsi="宋体"/>
                <w:b/>
                <w:bCs/>
                <w:color w:val="auto"/>
              </w:rPr>
            </w:pPr>
            <w:r>
              <w:rPr>
                <w:rFonts w:hint="eastAsia" w:hAnsi="宋体"/>
                <w:b/>
                <w:bCs/>
                <w:color w:val="auto"/>
              </w:rPr>
              <w:t>银行保函</w:t>
            </w:r>
            <w:r>
              <w:rPr>
                <w:rFonts w:hint="eastAsia" w:ascii="宋体" w:hAnsi="宋体"/>
                <w:b/>
                <w:color w:val="auto"/>
              </w:rPr>
              <w:t>（如已缴纳保证金，无须提供）</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color w:val="auto"/>
              </w:rPr>
              <w:t>政府采购磋商担保函（如已缴纳保证金，无须提供）</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right w:val="single" w:color="auto" w:sz="4" w:space="0"/>
            </w:tcBorders>
            <w:vAlign w:val="center"/>
          </w:tcPr>
          <w:p>
            <w:pPr>
              <w:widowControl/>
              <w:spacing w:line="300" w:lineRule="exact"/>
              <w:jc w:val="center"/>
              <w:rPr>
                <w:rFonts w:ascii="宋体" w:hAnsi="宋体"/>
                <w:b/>
                <w:bCs/>
                <w:color w:val="auto"/>
              </w:rPr>
            </w:pPr>
          </w:p>
        </w:tc>
        <w:tc>
          <w:tcPr>
            <w:tcW w:w="709" w:type="dxa"/>
            <w:tcBorders>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vAlign w:val="center"/>
          </w:tcPr>
          <w:p>
            <w:pPr>
              <w:widowControl/>
              <w:spacing w:line="300" w:lineRule="exact"/>
              <w:rPr>
                <w:rFonts w:ascii="宋体" w:hAnsi="宋体"/>
                <w:b/>
                <w:bCs/>
                <w:color w:val="auto"/>
              </w:rPr>
            </w:pPr>
            <w:r>
              <w:rPr>
                <w:rFonts w:hint="eastAsia" w:ascii="宋体" w:hAnsi="宋体"/>
                <w:b/>
                <w:bCs/>
                <w:color w:val="auto"/>
              </w:rPr>
              <w:t>联合体共同磋商协议书（如项目允许联合体参与，联合体各方需签订）</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restart"/>
            <w:tcBorders>
              <w:top w:val="single" w:color="auto" w:sz="4" w:space="0"/>
              <w:right w:val="single" w:color="auto" w:sz="4" w:space="0"/>
            </w:tcBorders>
            <w:vAlign w:val="center"/>
          </w:tcPr>
          <w:p>
            <w:pPr>
              <w:widowControl/>
              <w:spacing w:line="240" w:lineRule="atLeast"/>
              <w:jc w:val="center"/>
              <w:rPr>
                <w:rFonts w:ascii="宋体" w:hAnsi="宋体"/>
                <w:b/>
                <w:bCs/>
                <w:color w:val="auto"/>
              </w:rPr>
            </w:pPr>
            <w:r>
              <w:rPr>
                <w:rFonts w:hint="eastAsia" w:ascii="宋体" w:hAnsi="宋体"/>
                <w:b/>
                <w:bCs/>
                <w:color w:val="auto"/>
              </w:rPr>
              <w:t>技术部分</w:t>
            </w:r>
          </w:p>
          <w:p>
            <w:pPr>
              <w:spacing w:line="300" w:lineRule="exact"/>
              <w:jc w:val="center"/>
              <w:rPr>
                <w:rFonts w:ascii="宋体" w:hAnsi="宋体"/>
                <w:b/>
                <w:bCs/>
                <w:color w:val="auto"/>
              </w:rPr>
            </w:pPr>
            <w:r>
              <w:rPr>
                <w:rFonts w:hint="eastAsia" w:ascii="宋体" w:hAnsi="宋体"/>
                <w:b/>
                <w:bCs/>
                <w:color w:val="auto"/>
              </w:rPr>
              <w:t>（加盖公章）</w:t>
            </w:r>
          </w:p>
        </w:tc>
        <w:tc>
          <w:tcPr>
            <w:tcW w:w="709" w:type="dxa"/>
            <w:tcBorders>
              <w:top w:val="single" w:color="auto" w:sz="4" w:space="0"/>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tcBorders>
              <w:top w:val="single" w:color="auto" w:sz="4" w:space="0"/>
            </w:tcBorders>
          </w:tcPr>
          <w:p>
            <w:pPr>
              <w:spacing w:line="360" w:lineRule="auto"/>
              <w:rPr>
                <w:b/>
                <w:color w:val="auto"/>
                <w:szCs w:val="21"/>
              </w:rPr>
            </w:pPr>
            <w:r>
              <w:rPr>
                <w:rFonts w:hint="eastAsia"/>
                <w:b/>
                <w:color w:val="auto"/>
                <w:szCs w:val="21"/>
              </w:rPr>
              <w:t>详见《第五章 响应文件技术部分》</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trPr>
        <w:tc>
          <w:tcPr>
            <w:tcW w:w="1526" w:type="dxa"/>
            <w:vMerge w:val="continue"/>
            <w:tcBorders>
              <w:top w:val="single" w:color="auto" w:sz="4" w:space="0"/>
              <w:right w:val="single" w:color="auto" w:sz="4" w:space="0"/>
            </w:tcBorders>
            <w:vAlign w:val="center"/>
          </w:tcPr>
          <w:p>
            <w:pPr>
              <w:widowControl/>
              <w:spacing w:line="240" w:lineRule="atLeast"/>
              <w:jc w:val="center"/>
              <w:rPr>
                <w:rFonts w:ascii="宋体" w:hAnsi="宋体"/>
                <w:b/>
                <w:bCs/>
                <w:color w:val="auto"/>
              </w:rPr>
            </w:pPr>
          </w:p>
        </w:tc>
        <w:tc>
          <w:tcPr>
            <w:tcW w:w="709" w:type="dxa"/>
            <w:tcBorders>
              <w:top w:val="single" w:color="auto" w:sz="4" w:space="0"/>
              <w:left w:val="single" w:color="auto" w:sz="4" w:space="0"/>
            </w:tcBorders>
            <w:vAlign w:val="center"/>
          </w:tcPr>
          <w:p>
            <w:pPr>
              <w:widowControl/>
              <w:numPr>
                <w:ilvl w:val="0"/>
                <w:numId w:val="32"/>
              </w:numPr>
              <w:spacing w:line="300" w:lineRule="exact"/>
              <w:jc w:val="center"/>
              <w:rPr>
                <w:rFonts w:ascii="宋体" w:hAnsi="宋体"/>
                <w:b/>
                <w:bCs/>
                <w:color w:val="auto"/>
              </w:rPr>
            </w:pPr>
          </w:p>
        </w:tc>
        <w:tc>
          <w:tcPr>
            <w:tcW w:w="5386" w:type="dxa"/>
            <w:tcBorders>
              <w:top w:val="single" w:color="auto" w:sz="4" w:space="0"/>
            </w:tcBorders>
          </w:tcPr>
          <w:p>
            <w:pPr>
              <w:spacing w:line="360" w:lineRule="auto"/>
              <w:rPr>
                <w:b/>
                <w:color w:val="auto"/>
                <w:szCs w:val="21"/>
              </w:rPr>
            </w:pPr>
            <w:r>
              <w:rPr>
                <w:rFonts w:hint="eastAsia"/>
                <w:b/>
                <w:color w:val="auto"/>
                <w:szCs w:val="21"/>
              </w:rPr>
              <w:t>供应商认为必要的其他技术资料</w:t>
            </w:r>
          </w:p>
        </w:tc>
        <w:tc>
          <w:tcPr>
            <w:tcW w:w="1134" w:type="dxa"/>
            <w:tcBorders>
              <w:right w:val="single" w:color="auto" w:sz="4" w:space="0"/>
            </w:tcBorders>
            <w:vAlign w:val="center"/>
          </w:tcPr>
          <w:p>
            <w:pPr>
              <w:widowControl/>
              <w:spacing w:line="300" w:lineRule="exact"/>
              <w:jc w:val="center"/>
              <w:rPr>
                <w:rFonts w:ascii="宋体" w:hAnsi="宋体"/>
                <w:b/>
                <w:bCs/>
                <w:color w:val="auto"/>
              </w:rPr>
            </w:pPr>
          </w:p>
        </w:tc>
        <w:tc>
          <w:tcPr>
            <w:tcW w:w="1134" w:type="dxa"/>
            <w:tcBorders>
              <w:left w:val="single" w:color="auto" w:sz="4" w:space="0"/>
            </w:tcBorders>
            <w:vAlign w:val="center"/>
          </w:tcPr>
          <w:p>
            <w:pPr>
              <w:widowControl/>
              <w:spacing w:line="300" w:lineRule="exact"/>
              <w:jc w:val="center"/>
              <w:rPr>
                <w:rFonts w:ascii="宋体" w:hAnsi="宋体"/>
                <w:b/>
                <w:bCs/>
                <w:color w:val="auto"/>
              </w:rPr>
            </w:pPr>
          </w:p>
        </w:tc>
      </w:tr>
    </w:tbl>
    <w:p>
      <w:pPr>
        <w:widowControl/>
        <w:spacing w:line="360" w:lineRule="auto"/>
        <w:jc w:val="center"/>
        <w:rPr>
          <w:rFonts w:ascii="宋体" w:hAnsi="宋体"/>
          <w:b/>
          <w:bCs/>
          <w:color w:val="auto"/>
        </w:rPr>
      </w:pPr>
    </w:p>
    <w:p>
      <w:pPr>
        <w:pStyle w:val="4"/>
        <w:keepNext w:val="0"/>
        <w:keepLines w:val="0"/>
        <w:widowControl/>
        <w:spacing w:before="188" w:after="188" w:line="400" w:lineRule="exact"/>
        <w:jc w:val="center"/>
        <w:rPr>
          <w:color w:val="auto"/>
        </w:rPr>
      </w:pPr>
      <w:r>
        <w:rPr>
          <w:rFonts w:hAnsi="宋体" w:cs="Arial"/>
          <w:color w:val="auto"/>
          <w:sz w:val="28"/>
        </w:rPr>
        <w:br w:type="page"/>
      </w:r>
      <w:bookmarkEnd w:id="215"/>
      <w:bookmarkEnd w:id="216"/>
      <w:bookmarkEnd w:id="217"/>
      <w:bookmarkEnd w:id="218"/>
      <w:bookmarkEnd w:id="219"/>
      <w:bookmarkEnd w:id="220"/>
      <w:bookmarkEnd w:id="221"/>
      <w:bookmarkEnd w:id="222"/>
      <w:bookmarkEnd w:id="223"/>
      <w:bookmarkEnd w:id="224"/>
      <w:bookmarkStart w:id="229" w:name="_Toc19477"/>
      <w:bookmarkStart w:id="230" w:name="_Toc18934986"/>
      <w:bookmarkStart w:id="231" w:name="_Toc30370"/>
      <w:bookmarkStart w:id="232" w:name="_Toc30538"/>
      <w:bookmarkStart w:id="233" w:name="_Toc7499"/>
      <w:bookmarkStart w:id="234" w:name="_Toc463775713"/>
      <w:bookmarkStart w:id="235" w:name="_Toc463690923"/>
      <w:bookmarkStart w:id="236" w:name="_Toc469663686"/>
      <w:bookmarkStart w:id="237" w:name="_Toc18935128"/>
      <w:bookmarkStart w:id="238" w:name="_Toc1572"/>
      <w:bookmarkStart w:id="239" w:name="_Toc426557869"/>
      <w:r>
        <w:rPr>
          <w:rFonts w:hint="eastAsia" w:hAnsi="宋体"/>
          <w:bCs/>
          <w:color w:val="auto"/>
        </w:rPr>
        <w:t>第二章 索引</w:t>
      </w:r>
      <w:bookmarkEnd w:id="229"/>
      <w:bookmarkEnd w:id="230"/>
      <w:bookmarkEnd w:id="231"/>
      <w:bookmarkEnd w:id="232"/>
      <w:bookmarkEnd w:id="233"/>
      <w:bookmarkEnd w:id="234"/>
      <w:bookmarkEnd w:id="235"/>
      <w:bookmarkEnd w:id="236"/>
      <w:bookmarkEnd w:id="237"/>
      <w:bookmarkEnd w:id="238"/>
    </w:p>
    <w:p>
      <w:pPr>
        <w:pStyle w:val="4"/>
        <w:keepNext w:val="0"/>
        <w:keepLines w:val="0"/>
        <w:widowControl/>
        <w:numPr>
          <w:ilvl w:val="1"/>
          <w:numId w:val="33"/>
        </w:numPr>
        <w:spacing w:before="188" w:after="188" w:line="400" w:lineRule="exact"/>
        <w:jc w:val="center"/>
        <w:rPr>
          <w:rFonts w:hAnsi="宋体"/>
          <w:color w:val="auto"/>
          <w:sz w:val="21"/>
          <w:szCs w:val="21"/>
        </w:rPr>
      </w:pPr>
      <w:bookmarkStart w:id="240" w:name="_Toc18480"/>
      <w:bookmarkStart w:id="241" w:name="_Toc2508"/>
      <w:bookmarkStart w:id="242" w:name="_Toc26545"/>
      <w:bookmarkStart w:id="243" w:name="_Toc15962"/>
      <w:bookmarkStart w:id="244" w:name="_Toc469663687"/>
      <w:bookmarkStart w:id="245" w:name="_Toc23345"/>
      <w:bookmarkStart w:id="246" w:name="_Toc18935129"/>
      <w:bookmarkStart w:id="247" w:name="_Toc463775714"/>
      <w:bookmarkStart w:id="248" w:name="_Toc18934987"/>
      <w:bookmarkStart w:id="249" w:name="_Toc32009"/>
      <w:bookmarkStart w:id="250" w:name="_Toc463690924"/>
      <w:r>
        <w:rPr>
          <w:rFonts w:hAnsi="宋体"/>
          <w:color w:val="auto"/>
          <w:sz w:val="21"/>
          <w:szCs w:val="21"/>
        </w:rPr>
        <w:t>资格性</w:t>
      </w:r>
      <w:r>
        <w:rPr>
          <w:rFonts w:hint="eastAsia" w:hAnsi="宋体"/>
          <w:color w:val="auto"/>
          <w:sz w:val="21"/>
          <w:szCs w:val="21"/>
        </w:rPr>
        <w:t>、</w:t>
      </w:r>
      <w:r>
        <w:rPr>
          <w:rFonts w:hAnsi="宋体"/>
          <w:color w:val="auto"/>
          <w:sz w:val="21"/>
          <w:szCs w:val="21"/>
        </w:rPr>
        <w:t>符合性</w:t>
      </w:r>
      <w:r>
        <w:rPr>
          <w:rFonts w:hint="eastAsia" w:hAnsi="宋体"/>
          <w:color w:val="auto"/>
          <w:sz w:val="21"/>
          <w:szCs w:val="21"/>
        </w:rPr>
        <w:t>审查</w:t>
      </w:r>
      <w:r>
        <w:rPr>
          <w:rFonts w:hAnsi="宋体"/>
          <w:color w:val="auto"/>
          <w:sz w:val="21"/>
          <w:szCs w:val="21"/>
        </w:rPr>
        <w:t>自查表</w:t>
      </w:r>
      <w:bookmarkEnd w:id="240"/>
      <w:bookmarkEnd w:id="241"/>
      <w:bookmarkEnd w:id="242"/>
      <w:bookmarkEnd w:id="243"/>
      <w:bookmarkEnd w:id="244"/>
      <w:bookmarkEnd w:id="245"/>
      <w:bookmarkEnd w:id="246"/>
      <w:bookmarkEnd w:id="247"/>
      <w:bookmarkEnd w:id="248"/>
      <w:bookmarkEnd w:id="249"/>
      <w:bookmarkEnd w:id="250"/>
    </w:p>
    <w:tbl>
      <w:tblPr>
        <w:tblStyle w:val="37"/>
        <w:tblW w:w="96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0"/>
        <w:gridCol w:w="1773"/>
        <w:gridCol w:w="3110"/>
        <w:gridCol w:w="1957"/>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46" w:hRule="atLeast"/>
          <w:jc w:val="center"/>
        </w:trPr>
        <w:tc>
          <w:tcPr>
            <w:tcW w:w="2513" w:type="dxa"/>
            <w:gridSpan w:val="2"/>
            <w:vAlign w:val="center"/>
          </w:tcPr>
          <w:p>
            <w:pPr>
              <w:spacing w:line="320" w:lineRule="atLeast"/>
              <w:ind w:left="-171"/>
              <w:jc w:val="center"/>
              <w:rPr>
                <w:rFonts w:ascii="宋体" w:hAnsi="宋体"/>
                <w:b/>
                <w:bCs/>
                <w:color w:val="auto"/>
                <w:szCs w:val="21"/>
              </w:rPr>
            </w:pPr>
            <w:r>
              <w:rPr>
                <w:rFonts w:ascii="宋体" w:hAnsi="宋体"/>
                <w:b/>
                <w:bCs/>
                <w:color w:val="auto"/>
                <w:szCs w:val="21"/>
              </w:rPr>
              <w:t>评审内容</w:t>
            </w:r>
          </w:p>
        </w:tc>
        <w:tc>
          <w:tcPr>
            <w:tcW w:w="3110" w:type="dxa"/>
            <w:vAlign w:val="center"/>
          </w:tcPr>
          <w:p>
            <w:pPr>
              <w:spacing w:line="320" w:lineRule="atLeast"/>
              <w:ind w:left="-171"/>
              <w:jc w:val="center"/>
              <w:rPr>
                <w:rFonts w:ascii="宋体" w:hAnsi="宋体"/>
                <w:b/>
                <w:bCs/>
                <w:color w:val="auto"/>
                <w:szCs w:val="21"/>
              </w:rPr>
            </w:pPr>
            <w:r>
              <w:rPr>
                <w:rFonts w:hint="eastAsia" w:ascii="宋体" w:hAnsi="宋体"/>
                <w:b/>
                <w:bCs/>
                <w:color w:val="auto"/>
                <w:szCs w:val="21"/>
              </w:rPr>
              <w:t>磋商</w:t>
            </w:r>
            <w:r>
              <w:rPr>
                <w:rFonts w:ascii="宋体" w:hAnsi="宋体"/>
                <w:b/>
                <w:bCs/>
                <w:color w:val="auto"/>
                <w:szCs w:val="21"/>
              </w:rPr>
              <w:t>文件要求</w:t>
            </w:r>
          </w:p>
        </w:tc>
        <w:tc>
          <w:tcPr>
            <w:tcW w:w="1957" w:type="dxa"/>
            <w:vAlign w:val="center"/>
          </w:tcPr>
          <w:p>
            <w:pPr>
              <w:spacing w:line="320" w:lineRule="atLeast"/>
              <w:ind w:left="-171"/>
              <w:jc w:val="center"/>
              <w:rPr>
                <w:rFonts w:ascii="宋体" w:hAnsi="宋体"/>
                <w:b/>
                <w:bCs/>
                <w:color w:val="auto"/>
                <w:szCs w:val="21"/>
              </w:rPr>
            </w:pPr>
            <w:r>
              <w:rPr>
                <w:rFonts w:ascii="宋体" w:hAnsi="宋体"/>
                <w:b/>
                <w:bCs/>
                <w:color w:val="auto"/>
                <w:szCs w:val="21"/>
              </w:rPr>
              <w:t>自查结论</w:t>
            </w:r>
          </w:p>
        </w:tc>
        <w:tc>
          <w:tcPr>
            <w:tcW w:w="2096" w:type="dxa"/>
            <w:vAlign w:val="center"/>
          </w:tcPr>
          <w:p>
            <w:pPr>
              <w:spacing w:line="320" w:lineRule="atLeast"/>
              <w:ind w:left="-171"/>
              <w:jc w:val="center"/>
              <w:rPr>
                <w:rFonts w:ascii="宋体" w:hAnsi="宋体"/>
                <w:b/>
                <w:bCs/>
                <w:color w:val="auto"/>
                <w:szCs w:val="21"/>
              </w:rPr>
            </w:pPr>
            <w:r>
              <w:rPr>
                <w:rFonts w:ascii="宋体" w:hAnsi="宋体"/>
                <w:b/>
                <w:bCs/>
                <w:color w:val="auto"/>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5" w:hRule="atLeast"/>
          <w:jc w:val="center"/>
        </w:trPr>
        <w:tc>
          <w:tcPr>
            <w:tcW w:w="740" w:type="dxa"/>
            <w:vMerge w:val="restart"/>
            <w:vAlign w:val="center"/>
          </w:tcPr>
          <w:p>
            <w:pPr>
              <w:spacing w:line="320" w:lineRule="atLeast"/>
              <w:jc w:val="center"/>
              <w:rPr>
                <w:rFonts w:ascii="宋体" w:hAnsi="宋体"/>
                <w:color w:val="auto"/>
                <w:szCs w:val="21"/>
              </w:rPr>
            </w:pPr>
            <w:r>
              <w:rPr>
                <w:rFonts w:ascii="宋体" w:hAnsi="宋体"/>
                <w:color w:val="auto"/>
                <w:szCs w:val="21"/>
              </w:rPr>
              <w:t>资格性检查</w:t>
            </w:r>
          </w:p>
        </w:tc>
        <w:tc>
          <w:tcPr>
            <w:tcW w:w="1773" w:type="dxa"/>
            <w:vAlign w:val="center"/>
          </w:tcPr>
          <w:p>
            <w:pPr>
              <w:spacing w:line="320" w:lineRule="atLeast"/>
              <w:jc w:val="center"/>
              <w:rPr>
                <w:rFonts w:ascii="宋体" w:hAnsi="宋体"/>
                <w:color w:val="auto"/>
                <w:szCs w:val="21"/>
              </w:rPr>
            </w:pPr>
            <w:r>
              <w:rPr>
                <w:rFonts w:hint="eastAsia" w:ascii="宋体" w:hAnsi="宋体" w:cs="宋体"/>
                <w:color w:val="auto"/>
                <w:szCs w:val="21"/>
              </w:rPr>
              <w:t>供应商的资格要求</w:t>
            </w:r>
          </w:p>
        </w:tc>
        <w:tc>
          <w:tcPr>
            <w:tcW w:w="3110" w:type="dxa"/>
            <w:vAlign w:val="center"/>
          </w:tcPr>
          <w:p>
            <w:pPr>
              <w:spacing w:line="320" w:lineRule="atLeast"/>
              <w:ind w:left="124" w:leftChars="59" w:right="124" w:rightChars="59"/>
              <w:rPr>
                <w:rFonts w:ascii="宋体" w:hAnsi="宋体"/>
                <w:color w:val="auto"/>
                <w:szCs w:val="21"/>
              </w:rPr>
            </w:pPr>
            <w:r>
              <w:rPr>
                <w:rFonts w:hint="eastAsia" w:ascii="宋体" w:hAnsi="宋体"/>
                <w:color w:val="auto"/>
                <w:szCs w:val="21"/>
                <w:lang w:val="zh-CN"/>
              </w:rPr>
              <w:t>按磋商公告中所列供应商资格</w:t>
            </w:r>
          </w:p>
        </w:tc>
        <w:tc>
          <w:tcPr>
            <w:tcW w:w="1957" w:type="dxa"/>
            <w:vAlign w:val="center"/>
          </w:tcPr>
          <w:p>
            <w:pPr>
              <w:spacing w:line="320" w:lineRule="atLeast"/>
              <w:jc w:val="center"/>
              <w:rPr>
                <w:rFonts w:ascii="宋体" w:hAnsi="宋体"/>
                <w:color w:val="auto"/>
                <w:szCs w:val="21"/>
              </w:rPr>
            </w:pPr>
            <w:r>
              <w:rPr>
                <w:rFonts w:ascii="宋体" w:hAnsi="宋体"/>
                <w:color w:val="auto"/>
                <w:szCs w:val="21"/>
              </w:rPr>
              <w:t>□通过  □不通过</w:t>
            </w:r>
          </w:p>
        </w:tc>
        <w:tc>
          <w:tcPr>
            <w:tcW w:w="2096" w:type="dxa"/>
            <w:vAlign w:val="center"/>
          </w:tcPr>
          <w:p>
            <w:pPr>
              <w:spacing w:line="320" w:lineRule="atLeast"/>
              <w:jc w:val="center"/>
              <w:rPr>
                <w:rFonts w:ascii="宋体" w:hAnsi="宋体"/>
                <w:color w:val="auto"/>
                <w:szCs w:val="21"/>
              </w:rPr>
            </w:pPr>
            <w:r>
              <w:rPr>
                <w:rFonts w:ascii="宋体" w:hAnsi="宋体"/>
                <w:color w:val="auto"/>
                <w:szCs w:val="21"/>
              </w:rPr>
              <w:t>见</w:t>
            </w:r>
            <w:r>
              <w:rPr>
                <w:rFonts w:hint="eastAsia" w:ascii="宋体" w:hAnsi="宋体"/>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color w:val="auto"/>
                <w:szCs w:val="21"/>
              </w:rPr>
            </w:pPr>
          </w:p>
        </w:tc>
        <w:tc>
          <w:tcPr>
            <w:tcW w:w="1773" w:type="dxa"/>
            <w:vAlign w:val="center"/>
          </w:tcPr>
          <w:p>
            <w:pPr>
              <w:spacing w:line="320" w:lineRule="atLeast"/>
              <w:jc w:val="center"/>
              <w:rPr>
                <w:rFonts w:ascii="宋体" w:hAnsi="宋体"/>
                <w:color w:val="auto"/>
                <w:szCs w:val="21"/>
              </w:rPr>
            </w:pPr>
            <w:r>
              <w:rPr>
                <w:rFonts w:ascii="宋体" w:hAnsi="宋体"/>
                <w:color w:val="auto"/>
                <w:szCs w:val="21"/>
              </w:rPr>
              <w:t>保证金（</w:t>
            </w:r>
            <w:r>
              <w:rPr>
                <w:rFonts w:hint="eastAsia" w:ascii="宋体" w:hAnsi="宋体"/>
                <w:color w:val="auto"/>
                <w:szCs w:val="21"/>
              </w:rPr>
              <w:t>磋商</w:t>
            </w:r>
            <w:r>
              <w:rPr>
                <w:rFonts w:ascii="宋体" w:hAnsi="宋体"/>
                <w:color w:val="auto"/>
                <w:szCs w:val="21"/>
              </w:rPr>
              <w:t>保证金交纳凭证）</w:t>
            </w:r>
          </w:p>
        </w:tc>
        <w:tc>
          <w:tcPr>
            <w:tcW w:w="3110" w:type="dxa"/>
            <w:vAlign w:val="center"/>
          </w:tcPr>
          <w:p>
            <w:pPr>
              <w:spacing w:line="320" w:lineRule="atLeast"/>
              <w:ind w:left="124" w:leftChars="59" w:right="124" w:rightChars="59"/>
              <w:rPr>
                <w:rFonts w:ascii="宋体" w:hAnsi="宋体"/>
                <w:color w:val="auto"/>
                <w:szCs w:val="21"/>
              </w:rPr>
            </w:pPr>
            <w:r>
              <w:rPr>
                <w:rFonts w:hint="eastAsia" w:ascii="宋体" w:hAnsi="宋体"/>
                <w:color w:val="auto"/>
                <w:szCs w:val="21"/>
              </w:rPr>
              <w:t>金额详见磋商须知前附表</w:t>
            </w:r>
            <w:r>
              <w:rPr>
                <w:rFonts w:ascii="宋体" w:hAnsi="宋体"/>
                <w:color w:val="auto"/>
                <w:szCs w:val="21"/>
              </w:rPr>
              <w:t>（转账、汇款的提供复印件加盖公章）</w:t>
            </w:r>
          </w:p>
        </w:tc>
        <w:tc>
          <w:tcPr>
            <w:tcW w:w="1957" w:type="dxa"/>
            <w:vAlign w:val="center"/>
          </w:tcPr>
          <w:p>
            <w:pPr>
              <w:spacing w:line="320" w:lineRule="atLeast"/>
              <w:jc w:val="center"/>
              <w:rPr>
                <w:rFonts w:ascii="宋体" w:hAnsi="宋体"/>
                <w:color w:val="auto"/>
                <w:szCs w:val="21"/>
              </w:rPr>
            </w:pPr>
            <w:r>
              <w:rPr>
                <w:rFonts w:ascii="宋体" w:hAnsi="宋体"/>
                <w:color w:val="auto"/>
                <w:szCs w:val="21"/>
              </w:rPr>
              <w:t>□通过  □不通过</w:t>
            </w:r>
          </w:p>
        </w:tc>
        <w:tc>
          <w:tcPr>
            <w:tcW w:w="2096" w:type="dxa"/>
            <w:vAlign w:val="center"/>
          </w:tcPr>
          <w:p>
            <w:pPr>
              <w:spacing w:line="320" w:lineRule="atLeast"/>
              <w:jc w:val="center"/>
              <w:rPr>
                <w:rFonts w:ascii="宋体" w:hAnsi="宋体"/>
                <w:color w:val="auto"/>
                <w:szCs w:val="21"/>
              </w:rPr>
            </w:pPr>
            <w:r>
              <w:rPr>
                <w:rFonts w:ascii="宋体" w:hAnsi="宋体"/>
                <w:color w:val="auto"/>
                <w:szCs w:val="21"/>
              </w:rPr>
              <w:t>见</w:t>
            </w:r>
            <w:r>
              <w:rPr>
                <w:rFonts w:hint="eastAsia" w:ascii="宋体" w:hAnsi="宋体"/>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5" w:hRule="atLeast"/>
          <w:jc w:val="center"/>
        </w:trPr>
        <w:tc>
          <w:tcPr>
            <w:tcW w:w="740" w:type="dxa"/>
            <w:vMerge w:val="restart"/>
            <w:vAlign w:val="center"/>
          </w:tcPr>
          <w:p>
            <w:pPr>
              <w:spacing w:line="320" w:lineRule="atLeast"/>
              <w:jc w:val="center"/>
              <w:rPr>
                <w:rFonts w:ascii="宋体" w:hAnsi="宋体"/>
                <w:color w:val="auto"/>
                <w:szCs w:val="21"/>
              </w:rPr>
            </w:pPr>
            <w:r>
              <w:rPr>
                <w:rFonts w:ascii="宋体" w:hAnsi="宋体"/>
                <w:color w:val="auto"/>
                <w:szCs w:val="21"/>
              </w:rPr>
              <w:t>符合性审查</w:t>
            </w:r>
          </w:p>
        </w:tc>
        <w:tc>
          <w:tcPr>
            <w:tcW w:w="1773" w:type="dxa"/>
            <w:vAlign w:val="center"/>
          </w:tcPr>
          <w:p>
            <w:pPr>
              <w:spacing w:line="320" w:lineRule="atLeast"/>
              <w:jc w:val="center"/>
              <w:rPr>
                <w:rFonts w:ascii="宋体" w:hAnsi="宋体"/>
                <w:color w:val="auto"/>
                <w:szCs w:val="21"/>
              </w:rPr>
            </w:pPr>
            <w:r>
              <w:rPr>
                <w:rFonts w:hint="eastAsia" w:ascii="宋体" w:hAnsi="宋体" w:cs="宋体"/>
                <w:color w:val="auto"/>
                <w:szCs w:val="21"/>
              </w:rPr>
              <w:t>磋商有效期</w:t>
            </w:r>
          </w:p>
        </w:tc>
        <w:tc>
          <w:tcPr>
            <w:tcW w:w="3110" w:type="dxa"/>
            <w:vAlign w:val="center"/>
          </w:tcPr>
          <w:p>
            <w:pPr>
              <w:spacing w:line="320" w:lineRule="atLeast"/>
              <w:ind w:left="124" w:leftChars="59" w:right="124" w:rightChars="59"/>
              <w:rPr>
                <w:rFonts w:ascii="宋体" w:hAnsi="宋体"/>
                <w:color w:val="auto"/>
                <w:szCs w:val="21"/>
              </w:rPr>
            </w:pPr>
            <w:r>
              <w:rPr>
                <w:rFonts w:hint="eastAsia" w:ascii="宋体" w:hAnsi="宋体"/>
                <w:color w:val="auto"/>
                <w:szCs w:val="21"/>
              </w:rPr>
              <w:t>报价</w:t>
            </w:r>
            <w:r>
              <w:rPr>
                <w:rFonts w:ascii="宋体" w:hAnsi="宋体"/>
                <w:color w:val="auto"/>
                <w:szCs w:val="21"/>
              </w:rPr>
              <w:t>函</w:t>
            </w:r>
            <w:r>
              <w:rPr>
                <w:rFonts w:hint="eastAsia" w:ascii="宋体" w:hAnsi="宋体"/>
                <w:color w:val="auto"/>
                <w:szCs w:val="21"/>
              </w:rPr>
              <w:t>（供应商的报价有效期为自提交首次响应文件截止之日起90日）</w:t>
            </w:r>
          </w:p>
        </w:tc>
        <w:tc>
          <w:tcPr>
            <w:tcW w:w="1957" w:type="dxa"/>
            <w:vAlign w:val="center"/>
          </w:tcPr>
          <w:p>
            <w:pPr>
              <w:spacing w:line="320" w:lineRule="atLeast"/>
              <w:jc w:val="center"/>
              <w:rPr>
                <w:rFonts w:ascii="宋体" w:hAnsi="宋体"/>
                <w:color w:val="auto"/>
                <w:szCs w:val="21"/>
              </w:rPr>
            </w:pPr>
            <w:r>
              <w:rPr>
                <w:rFonts w:ascii="宋体" w:hAnsi="宋体"/>
                <w:color w:val="auto"/>
                <w:szCs w:val="21"/>
              </w:rPr>
              <w:t>□通过  □不通过</w:t>
            </w:r>
          </w:p>
        </w:tc>
        <w:tc>
          <w:tcPr>
            <w:tcW w:w="2096" w:type="dxa"/>
            <w:vAlign w:val="center"/>
          </w:tcPr>
          <w:p>
            <w:pPr>
              <w:spacing w:line="320" w:lineRule="atLeast"/>
              <w:jc w:val="center"/>
              <w:rPr>
                <w:rFonts w:ascii="宋体" w:hAnsi="宋体"/>
                <w:color w:val="auto"/>
                <w:szCs w:val="21"/>
              </w:rPr>
            </w:pPr>
            <w:r>
              <w:rPr>
                <w:rFonts w:ascii="宋体" w:hAnsi="宋体"/>
                <w:color w:val="auto"/>
                <w:szCs w:val="21"/>
              </w:rPr>
              <w:t>见</w:t>
            </w:r>
            <w:r>
              <w:rPr>
                <w:rFonts w:hint="eastAsia" w:ascii="宋体" w:hAnsi="宋体"/>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color w:val="auto"/>
                <w:szCs w:val="21"/>
              </w:rPr>
            </w:pPr>
          </w:p>
        </w:tc>
        <w:tc>
          <w:tcPr>
            <w:tcW w:w="1773" w:type="dxa"/>
            <w:vAlign w:val="center"/>
          </w:tcPr>
          <w:p>
            <w:pPr>
              <w:spacing w:line="320" w:lineRule="atLeast"/>
              <w:jc w:val="center"/>
              <w:rPr>
                <w:rFonts w:ascii="宋体" w:hAnsi="宋体"/>
                <w:color w:val="auto"/>
                <w:szCs w:val="21"/>
              </w:rPr>
            </w:pPr>
            <w:r>
              <w:rPr>
                <w:rFonts w:hint="eastAsia" w:ascii="宋体" w:hAnsi="宋体" w:cs="宋体"/>
                <w:color w:val="auto"/>
                <w:szCs w:val="21"/>
              </w:rPr>
              <w:t>最高限价</w:t>
            </w:r>
          </w:p>
        </w:tc>
        <w:tc>
          <w:tcPr>
            <w:tcW w:w="3110" w:type="dxa"/>
            <w:vAlign w:val="center"/>
          </w:tcPr>
          <w:p>
            <w:pPr>
              <w:spacing w:line="320" w:lineRule="atLeast"/>
              <w:ind w:left="124" w:leftChars="59" w:right="124" w:rightChars="59"/>
              <w:rPr>
                <w:rFonts w:ascii="宋体" w:hAnsi="宋体"/>
                <w:color w:val="auto"/>
                <w:szCs w:val="21"/>
              </w:rPr>
            </w:pPr>
            <w:r>
              <w:rPr>
                <w:rFonts w:hint="eastAsia" w:ascii="宋体" w:hAnsi="宋体" w:cs="宋体"/>
                <w:color w:val="auto"/>
                <w:szCs w:val="21"/>
              </w:rPr>
              <w:t>最终报价没有超出最高限价</w:t>
            </w:r>
          </w:p>
        </w:tc>
        <w:tc>
          <w:tcPr>
            <w:tcW w:w="1957" w:type="dxa"/>
            <w:vAlign w:val="center"/>
          </w:tcPr>
          <w:p>
            <w:pPr>
              <w:spacing w:line="320" w:lineRule="atLeast"/>
              <w:jc w:val="center"/>
              <w:rPr>
                <w:rFonts w:ascii="宋体" w:hAnsi="宋体"/>
                <w:color w:val="auto"/>
                <w:szCs w:val="21"/>
              </w:rPr>
            </w:pPr>
            <w:r>
              <w:rPr>
                <w:rFonts w:ascii="宋体" w:hAnsi="宋体"/>
                <w:color w:val="auto"/>
                <w:szCs w:val="21"/>
              </w:rPr>
              <w:t>□通过  □不通过</w:t>
            </w:r>
          </w:p>
        </w:tc>
        <w:tc>
          <w:tcPr>
            <w:tcW w:w="2096" w:type="dxa"/>
            <w:vAlign w:val="center"/>
          </w:tcPr>
          <w:p>
            <w:pPr>
              <w:spacing w:line="320" w:lineRule="atLeast"/>
              <w:jc w:val="center"/>
              <w:rPr>
                <w:rFonts w:ascii="宋体" w:hAnsi="宋体"/>
                <w:color w:val="auto"/>
                <w:szCs w:val="21"/>
              </w:rPr>
            </w:pPr>
            <w:r>
              <w:rPr>
                <w:rFonts w:ascii="宋体" w:hAnsi="宋体"/>
                <w:color w:val="auto"/>
                <w:szCs w:val="21"/>
              </w:rPr>
              <w:t>见</w:t>
            </w:r>
            <w:r>
              <w:rPr>
                <w:rFonts w:hint="eastAsia" w:ascii="宋体" w:hAnsi="宋体"/>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color w:val="auto"/>
                <w:szCs w:val="21"/>
              </w:rPr>
            </w:pPr>
          </w:p>
        </w:tc>
        <w:tc>
          <w:tcPr>
            <w:tcW w:w="1773" w:type="dxa"/>
            <w:vAlign w:val="center"/>
          </w:tcPr>
          <w:p>
            <w:pPr>
              <w:spacing w:line="320" w:lineRule="atLeast"/>
              <w:jc w:val="center"/>
              <w:rPr>
                <w:rFonts w:ascii="宋体" w:hAnsi="宋体" w:cs="宋体"/>
                <w:color w:val="auto"/>
                <w:szCs w:val="21"/>
              </w:rPr>
            </w:pPr>
            <w:r>
              <w:rPr>
                <w:rFonts w:hint="eastAsia" w:ascii="宋体" w:hAnsi="宋体" w:cs="宋体"/>
                <w:color w:val="auto"/>
                <w:szCs w:val="21"/>
              </w:rPr>
              <w:t>响应文件签署合格</w:t>
            </w:r>
          </w:p>
        </w:tc>
        <w:tc>
          <w:tcPr>
            <w:tcW w:w="3110" w:type="dxa"/>
            <w:vAlign w:val="center"/>
          </w:tcPr>
          <w:p>
            <w:pPr>
              <w:spacing w:line="320" w:lineRule="atLeast"/>
              <w:ind w:left="124" w:leftChars="59" w:right="124" w:rightChars="59"/>
              <w:rPr>
                <w:rFonts w:ascii="宋体" w:hAnsi="宋体"/>
                <w:color w:val="auto"/>
                <w:szCs w:val="21"/>
              </w:rPr>
            </w:pPr>
            <w:r>
              <w:rPr>
                <w:rFonts w:ascii="宋体" w:hAnsi="宋体"/>
                <w:color w:val="auto"/>
                <w:szCs w:val="21"/>
              </w:rPr>
              <w:t>按对应格式文件签署、盖章</w:t>
            </w:r>
          </w:p>
        </w:tc>
        <w:tc>
          <w:tcPr>
            <w:tcW w:w="1957" w:type="dxa"/>
            <w:vAlign w:val="center"/>
          </w:tcPr>
          <w:p>
            <w:pPr>
              <w:spacing w:line="320" w:lineRule="atLeast"/>
              <w:jc w:val="center"/>
              <w:rPr>
                <w:rFonts w:ascii="宋体" w:hAnsi="宋体"/>
                <w:color w:val="auto"/>
                <w:szCs w:val="21"/>
              </w:rPr>
            </w:pPr>
            <w:r>
              <w:rPr>
                <w:rFonts w:ascii="宋体" w:hAnsi="宋体"/>
                <w:color w:val="auto"/>
                <w:szCs w:val="21"/>
              </w:rPr>
              <w:t>□通过  □不通过</w:t>
            </w:r>
          </w:p>
        </w:tc>
        <w:tc>
          <w:tcPr>
            <w:tcW w:w="2096" w:type="dxa"/>
            <w:vAlign w:val="center"/>
          </w:tcPr>
          <w:p>
            <w:pPr>
              <w:spacing w:line="320" w:lineRule="atLeast"/>
              <w:jc w:val="center"/>
              <w:rPr>
                <w:rFonts w:ascii="宋体" w:hAnsi="宋体"/>
                <w:color w:val="auto"/>
                <w:szCs w:val="21"/>
              </w:rPr>
            </w:pPr>
            <w:r>
              <w:rPr>
                <w:rFonts w:ascii="宋体" w:hAnsi="宋体"/>
                <w:color w:val="auto"/>
                <w:szCs w:val="21"/>
              </w:rPr>
              <w:t>见</w:t>
            </w:r>
            <w:r>
              <w:rPr>
                <w:rFonts w:hint="eastAsia" w:ascii="宋体" w:hAnsi="宋体"/>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color w:val="auto"/>
                <w:szCs w:val="21"/>
              </w:rPr>
            </w:pPr>
          </w:p>
        </w:tc>
        <w:tc>
          <w:tcPr>
            <w:tcW w:w="1773" w:type="dxa"/>
            <w:vAlign w:val="center"/>
          </w:tcPr>
          <w:p>
            <w:pPr>
              <w:spacing w:line="320" w:lineRule="atLeast"/>
              <w:jc w:val="center"/>
              <w:rPr>
                <w:rFonts w:ascii="宋体" w:hAnsi="宋体" w:cs="宋体"/>
                <w:color w:val="auto"/>
                <w:szCs w:val="21"/>
              </w:rPr>
            </w:pPr>
            <w:r>
              <w:rPr>
                <w:rFonts w:hint="eastAsia" w:ascii="宋体" w:hAnsi="宋体" w:cs="宋体"/>
                <w:color w:val="auto"/>
                <w:szCs w:val="21"/>
              </w:rPr>
              <w:t>磋商文件中“★”标注的条款</w:t>
            </w:r>
          </w:p>
        </w:tc>
        <w:tc>
          <w:tcPr>
            <w:tcW w:w="3110" w:type="dxa"/>
            <w:vAlign w:val="center"/>
          </w:tcPr>
          <w:p>
            <w:pPr>
              <w:spacing w:line="320" w:lineRule="atLeast"/>
              <w:ind w:left="124" w:leftChars="59" w:right="124" w:rightChars="59"/>
              <w:rPr>
                <w:rFonts w:ascii="宋体" w:hAnsi="宋体" w:cs="宋体"/>
                <w:color w:val="auto"/>
                <w:szCs w:val="21"/>
              </w:rPr>
            </w:pPr>
            <w:r>
              <w:rPr>
                <w:rFonts w:hint="eastAsia" w:ascii="宋体" w:hAnsi="宋体" w:cs="宋体"/>
                <w:color w:val="auto"/>
                <w:szCs w:val="21"/>
              </w:rPr>
              <w:t>满足磋商文件中“★”标注的条款</w:t>
            </w:r>
          </w:p>
        </w:tc>
        <w:tc>
          <w:tcPr>
            <w:tcW w:w="1957" w:type="dxa"/>
            <w:vAlign w:val="center"/>
          </w:tcPr>
          <w:p>
            <w:pPr>
              <w:spacing w:line="320" w:lineRule="atLeast"/>
              <w:jc w:val="center"/>
              <w:rPr>
                <w:rFonts w:ascii="宋体" w:hAnsi="宋体"/>
                <w:color w:val="auto"/>
                <w:szCs w:val="21"/>
              </w:rPr>
            </w:pPr>
            <w:r>
              <w:rPr>
                <w:rFonts w:ascii="宋体" w:hAnsi="宋体"/>
                <w:color w:val="auto"/>
                <w:szCs w:val="21"/>
              </w:rPr>
              <w:t>□通过  □不通过</w:t>
            </w:r>
          </w:p>
        </w:tc>
        <w:tc>
          <w:tcPr>
            <w:tcW w:w="2096" w:type="dxa"/>
            <w:vAlign w:val="center"/>
          </w:tcPr>
          <w:p>
            <w:pPr>
              <w:spacing w:line="320" w:lineRule="atLeast"/>
              <w:jc w:val="center"/>
              <w:rPr>
                <w:rFonts w:ascii="宋体" w:hAnsi="宋体"/>
                <w:color w:val="auto"/>
                <w:szCs w:val="21"/>
              </w:rPr>
            </w:pPr>
            <w:r>
              <w:rPr>
                <w:rFonts w:ascii="宋体" w:hAnsi="宋体"/>
                <w:color w:val="auto"/>
                <w:szCs w:val="21"/>
              </w:rPr>
              <w:t>见</w:t>
            </w:r>
            <w:r>
              <w:rPr>
                <w:rFonts w:hint="eastAsia" w:ascii="宋体" w:hAnsi="宋体"/>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925" w:hRule="atLeast"/>
          <w:jc w:val="center"/>
        </w:trPr>
        <w:tc>
          <w:tcPr>
            <w:tcW w:w="740" w:type="dxa"/>
            <w:vMerge w:val="continue"/>
            <w:vAlign w:val="center"/>
          </w:tcPr>
          <w:p>
            <w:pPr>
              <w:spacing w:line="320" w:lineRule="atLeast"/>
              <w:jc w:val="center"/>
              <w:rPr>
                <w:rFonts w:ascii="宋体" w:hAnsi="宋体"/>
                <w:color w:val="auto"/>
                <w:szCs w:val="21"/>
              </w:rPr>
            </w:pPr>
          </w:p>
        </w:tc>
        <w:tc>
          <w:tcPr>
            <w:tcW w:w="1773" w:type="dxa"/>
            <w:vAlign w:val="center"/>
          </w:tcPr>
          <w:p>
            <w:pPr>
              <w:spacing w:line="320" w:lineRule="atLeast"/>
              <w:jc w:val="center"/>
              <w:rPr>
                <w:rFonts w:ascii="宋体" w:hAnsi="宋体" w:cs="宋体"/>
                <w:color w:val="auto"/>
                <w:szCs w:val="21"/>
              </w:rPr>
            </w:pPr>
            <w:r>
              <w:rPr>
                <w:rFonts w:hint="eastAsia" w:ascii="宋体" w:hAnsi="宋体"/>
                <w:color w:val="auto"/>
                <w:szCs w:val="21"/>
              </w:rPr>
              <w:t>其他</w:t>
            </w:r>
          </w:p>
        </w:tc>
        <w:tc>
          <w:tcPr>
            <w:tcW w:w="3110" w:type="dxa"/>
            <w:vAlign w:val="center"/>
          </w:tcPr>
          <w:p>
            <w:pPr>
              <w:spacing w:line="320" w:lineRule="atLeast"/>
              <w:ind w:left="124" w:leftChars="59" w:right="124" w:rightChars="59"/>
              <w:rPr>
                <w:rFonts w:ascii="宋体" w:hAnsi="宋体" w:cs="宋体"/>
                <w:color w:val="auto"/>
                <w:szCs w:val="21"/>
              </w:rPr>
            </w:pPr>
            <w:r>
              <w:rPr>
                <w:rFonts w:hint="eastAsia" w:ascii="宋体" w:hAnsi="宋体" w:cs="宋体"/>
                <w:color w:val="auto"/>
                <w:szCs w:val="21"/>
              </w:rPr>
              <w:t>未出现有关法律、法规、规章或磋商文件规定的属于响应无效的情形</w:t>
            </w:r>
          </w:p>
        </w:tc>
        <w:tc>
          <w:tcPr>
            <w:tcW w:w="1957" w:type="dxa"/>
            <w:vAlign w:val="center"/>
          </w:tcPr>
          <w:p>
            <w:pPr>
              <w:spacing w:line="320" w:lineRule="atLeast"/>
              <w:jc w:val="center"/>
              <w:rPr>
                <w:rFonts w:ascii="宋体" w:hAnsi="宋体"/>
                <w:color w:val="auto"/>
                <w:szCs w:val="21"/>
              </w:rPr>
            </w:pPr>
            <w:r>
              <w:rPr>
                <w:rFonts w:ascii="宋体" w:hAnsi="宋体"/>
                <w:color w:val="auto"/>
                <w:szCs w:val="21"/>
              </w:rPr>
              <w:t>□通过  □不通过</w:t>
            </w:r>
          </w:p>
        </w:tc>
        <w:tc>
          <w:tcPr>
            <w:tcW w:w="2096" w:type="dxa"/>
            <w:vAlign w:val="center"/>
          </w:tcPr>
          <w:p>
            <w:pPr>
              <w:spacing w:line="320" w:lineRule="atLeast"/>
              <w:jc w:val="center"/>
              <w:rPr>
                <w:rFonts w:ascii="宋体" w:hAnsi="宋体"/>
                <w:color w:val="auto"/>
                <w:szCs w:val="21"/>
              </w:rPr>
            </w:pPr>
            <w:r>
              <w:rPr>
                <w:rFonts w:ascii="宋体" w:hAnsi="宋体"/>
                <w:color w:val="auto"/>
                <w:szCs w:val="21"/>
              </w:rPr>
              <w:t>见</w:t>
            </w:r>
            <w:r>
              <w:rPr>
                <w:rFonts w:hint="eastAsia" w:ascii="宋体" w:hAnsi="宋体"/>
                <w:color w:val="auto"/>
                <w:szCs w:val="21"/>
              </w:rPr>
              <w:t>响应</w:t>
            </w:r>
            <w:r>
              <w:rPr>
                <w:rFonts w:ascii="宋体" w:hAnsi="宋体"/>
                <w:color w:val="auto"/>
                <w:szCs w:val="21"/>
              </w:rPr>
              <w:t>文件第（）页</w:t>
            </w:r>
          </w:p>
        </w:tc>
      </w:tr>
    </w:tbl>
    <w:p>
      <w:pPr>
        <w:pStyle w:val="15"/>
        <w:spacing w:line="360" w:lineRule="auto"/>
        <w:rPr>
          <w:color w:val="auto"/>
          <w:sz w:val="21"/>
          <w:szCs w:val="21"/>
        </w:rPr>
      </w:pPr>
      <w:r>
        <w:rPr>
          <w:color w:val="auto"/>
          <w:sz w:val="21"/>
          <w:szCs w:val="21"/>
        </w:rPr>
        <w:t>注：以上材料将作为</w:t>
      </w:r>
      <w:r>
        <w:rPr>
          <w:rFonts w:hint="eastAsia"/>
          <w:color w:val="auto"/>
          <w:sz w:val="21"/>
          <w:szCs w:val="21"/>
        </w:rPr>
        <w:t>供应商</w:t>
      </w:r>
      <w:r>
        <w:rPr>
          <w:color w:val="auto"/>
          <w:sz w:val="21"/>
          <w:szCs w:val="21"/>
        </w:rPr>
        <w:t>资格性</w:t>
      </w:r>
      <w:r>
        <w:rPr>
          <w:rFonts w:hint="eastAsia"/>
          <w:color w:val="auto"/>
          <w:sz w:val="21"/>
          <w:szCs w:val="21"/>
        </w:rPr>
        <w:t>、</w:t>
      </w:r>
      <w:r>
        <w:rPr>
          <w:color w:val="auto"/>
          <w:sz w:val="21"/>
          <w:szCs w:val="21"/>
        </w:rPr>
        <w:t>符合性审核的重要内容之一，</w:t>
      </w:r>
      <w:r>
        <w:rPr>
          <w:rFonts w:hint="eastAsia"/>
          <w:color w:val="auto"/>
          <w:sz w:val="21"/>
          <w:szCs w:val="21"/>
        </w:rPr>
        <w:t>供应商应</w:t>
      </w:r>
      <w:r>
        <w:rPr>
          <w:color w:val="auto"/>
          <w:sz w:val="21"/>
          <w:szCs w:val="21"/>
        </w:rPr>
        <w:t>严格按照其内容及序列要求在</w:t>
      </w:r>
      <w:r>
        <w:rPr>
          <w:rFonts w:hint="eastAsia"/>
          <w:color w:val="auto"/>
          <w:sz w:val="21"/>
          <w:szCs w:val="21"/>
        </w:rPr>
        <w:t>响应</w:t>
      </w:r>
      <w:r>
        <w:rPr>
          <w:color w:val="auto"/>
          <w:sz w:val="21"/>
          <w:szCs w:val="21"/>
        </w:rPr>
        <w:t>文件中对应如实提供，对缺漏和不符合项将会直接导致响应无效！</w:t>
      </w:r>
      <w:r>
        <w:rPr>
          <w:rFonts w:hint="eastAsia"/>
          <w:color w:val="auto"/>
          <w:sz w:val="21"/>
          <w:szCs w:val="21"/>
        </w:rPr>
        <w:t>请</w:t>
      </w:r>
      <w:r>
        <w:rPr>
          <w:color w:val="auto"/>
          <w:sz w:val="21"/>
          <w:szCs w:val="21"/>
        </w:rPr>
        <w:t>在对应的</w:t>
      </w:r>
      <w:r>
        <w:rPr>
          <w:rFonts w:ascii="宋体" w:hAnsi="宋体"/>
          <w:color w:val="auto"/>
          <w:sz w:val="21"/>
          <w:szCs w:val="21"/>
        </w:rPr>
        <w:t>□</w:t>
      </w:r>
      <w:r>
        <w:rPr>
          <w:color w:val="auto"/>
          <w:sz w:val="21"/>
          <w:szCs w:val="21"/>
        </w:rPr>
        <w:t>打“√”。</w:t>
      </w:r>
    </w:p>
    <w:p>
      <w:pPr>
        <w:pStyle w:val="4"/>
        <w:keepNext w:val="0"/>
        <w:keepLines w:val="0"/>
        <w:widowControl/>
        <w:numPr>
          <w:ilvl w:val="1"/>
          <w:numId w:val="33"/>
        </w:numPr>
        <w:spacing w:before="188" w:after="188" w:line="400" w:lineRule="exact"/>
        <w:jc w:val="center"/>
        <w:rPr>
          <w:rFonts w:hAnsi="宋体"/>
          <w:b w:val="0"/>
          <w:bCs/>
          <w:color w:val="auto"/>
          <w:sz w:val="21"/>
          <w:szCs w:val="21"/>
        </w:rPr>
      </w:pPr>
      <w:r>
        <w:rPr>
          <w:rFonts w:hAnsi="宋体"/>
          <w:b w:val="0"/>
          <w:bCs/>
          <w:color w:val="auto"/>
          <w:sz w:val="21"/>
          <w:szCs w:val="21"/>
        </w:rPr>
        <w:br w:type="page"/>
      </w:r>
      <w:bookmarkStart w:id="251" w:name="_Toc463775715"/>
      <w:bookmarkStart w:id="252" w:name="_Toc13315"/>
      <w:bookmarkStart w:id="253" w:name="_Toc27734"/>
      <w:bookmarkStart w:id="254" w:name="_Toc463690925"/>
      <w:bookmarkStart w:id="255" w:name="_Toc15827"/>
      <w:bookmarkStart w:id="256" w:name="_Toc469663688"/>
      <w:bookmarkStart w:id="257" w:name="_Toc5227"/>
      <w:bookmarkStart w:id="258" w:name="_Toc18934988"/>
      <w:bookmarkStart w:id="259" w:name="_Toc18935130"/>
      <w:bookmarkStart w:id="260" w:name="_Toc15646"/>
      <w:bookmarkStart w:id="261" w:name="_Toc12072"/>
      <w:r>
        <w:rPr>
          <w:rFonts w:hAnsi="宋体"/>
          <w:color w:val="auto"/>
          <w:sz w:val="21"/>
          <w:szCs w:val="21"/>
        </w:rPr>
        <w:t>评审</w:t>
      </w:r>
      <w:r>
        <w:rPr>
          <w:rFonts w:hint="eastAsia" w:hAnsi="宋体"/>
          <w:color w:val="auto"/>
          <w:sz w:val="21"/>
          <w:szCs w:val="21"/>
        </w:rPr>
        <w:t>要素响应</w:t>
      </w:r>
      <w:r>
        <w:rPr>
          <w:rFonts w:hAnsi="宋体"/>
          <w:color w:val="auto"/>
          <w:sz w:val="21"/>
          <w:szCs w:val="21"/>
        </w:rPr>
        <w:t>资料表</w:t>
      </w:r>
      <w:bookmarkEnd w:id="251"/>
      <w:bookmarkEnd w:id="252"/>
      <w:bookmarkEnd w:id="253"/>
      <w:bookmarkEnd w:id="254"/>
      <w:bookmarkEnd w:id="255"/>
      <w:bookmarkEnd w:id="256"/>
      <w:bookmarkEnd w:id="257"/>
      <w:bookmarkEnd w:id="258"/>
      <w:bookmarkEnd w:id="259"/>
      <w:bookmarkEnd w:id="260"/>
      <w:bookmarkEnd w:id="261"/>
    </w:p>
    <w:tbl>
      <w:tblPr>
        <w:tblStyle w:val="37"/>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5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548" w:type="dxa"/>
            <w:vAlign w:val="center"/>
          </w:tcPr>
          <w:p>
            <w:pPr>
              <w:pStyle w:val="100"/>
              <w:keepNext w:val="0"/>
              <w:adjustRightInd/>
              <w:spacing w:before="0" w:after="0" w:line="360" w:lineRule="auto"/>
              <w:textAlignment w:val="auto"/>
              <w:rPr>
                <w:rFonts w:ascii="宋体" w:hAnsi="宋体"/>
                <w:b/>
                <w:bCs/>
                <w:snapToGrid/>
                <w:color w:val="auto"/>
                <w:spacing w:val="0"/>
                <w:kern w:val="2"/>
                <w:sz w:val="21"/>
                <w:szCs w:val="21"/>
              </w:rPr>
            </w:pPr>
            <w:r>
              <w:rPr>
                <w:rFonts w:ascii="宋体" w:hAnsi="宋体"/>
                <w:b/>
                <w:bCs/>
                <w:snapToGrid/>
                <w:color w:val="auto"/>
                <w:spacing w:val="0"/>
                <w:kern w:val="2"/>
                <w:sz w:val="21"/>
                <w:szCs w:val="21"/>
              </w:rPr>
              <w:t>商务评审分项</w:t>
            </w:r>
          </w:p>
        </w:tc>
        <w:tc>
          <w:tcPr>
            <w:tcW w:w="5580" w:type="dxa"/>
            <w:vAlign w:val="center"/>
          </w:tcPr>
          <w:p>
            <w:pPr>
              <w:pStyle w:val="100"/>
              <w:keepNext w:val="0"/>
              <w:adjustRightInd/>
              <w:spacing w:before="0" w:after="0" w:line="360" w:lineRule="auto"/>
              <w:textAlignment w:val="auto"/>
              <w:rPr>
                <w:rFonts w:ascii="宋体" w:hAnsi="宋体"/>
                <w:b/>
                <w:bCs/>
                <w:snapToGrid/>
                <w:color w:val="auto"/>
                <w:spacing w:val="0"/>
                <w:kern w:val="2"/>
                <w:sz w:val="21"/>
                <w:szCs w:val="21"/>
              </w:rPr>
            </w:pPr>
            <w:r>
              <w:rPr>
                <w:rFonts w:ascii="宋体" w:hAnsi="宋体"/>
                <w:b/>
                <w:bCs/>
                <w:snapToGrid/>
                <w:color w:val="auto"/>
                <w:spacing w:val="0"/>
                <w:kern w:val="2"/>
                <w:sz w:val="21"/>
                <w:szCs w:val="21"/>
              </w:rPr>
              <w:t>商务评审细则</w:t>
            </w:r>
          </w:p>
        </w:tc>
        <w:tc>
          <w:tcPr>
            <w:tcW w:w="2160" w:type="dxa"/>
            <w:vAlign w:val="center"/>
          </w:tcPr>
          <w:p>
            <w:pPr>
              <w:pStyle w:val="100"/>
              <w:keepNext w:val="0"/>
              <w:adjustRightInd/>
              <w:spacing w:before="0" w:after="0" w:line="360" w:lineRule="auto"/>
              <w:textAlignment w:val="auto"/>
              <w:rPr>
                <w:rFonts w:ascii="宋体" w:hAnsi="宋体"/>
                <w:b/>
                <w:bCs/>
                <w:snapToGrid/>
                <w:color w:val="auto"/>
                <w:spacing w:val="0"/>
                <w:kern w:val="2"/>
                <w:sz w:val="21"/>
                <w:szCs w:val="21"/>
              </w:rPr>
            </w:pPr>
            <w:r>
              <w:rPr>
                <w:rFonts w:ascii="宋体" w:hAnsi="宋体"/>
                <w:b/>
                <w:bCs/>
                <w:snapToGrid/>
                <w:color w:val="auto"/>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pStyle w:val="39"/>
              <w:spacing w:before="0" w:after="0" w:line="360" w:lineRule="auto"/>
              <w:rPr>
                <w:rFonts w:ascii="宋体" w:hAnsi="宋体"/>
                <w:color w:val="auto"/>
                <w:sz w:val="21"/>
                <w:szCs w:val="21"/>
              </w:rPr>
            </w:pPr>
          </w:p>
        </w:tc>
        <w:tc>
          <w:tcPr>
            <w:tcW w:w="5580" w:type="dxa"/>
            <w:vAlign w:val="center"/>
          </w:tcPr>
          <w:p>
            <w:pPr>
              <w:pStyle w:val="25"/>
              <w:spacing w:line="360" w:lineRule="auto"/>
              <w:rPr>
                <w:rFonts w:ascii="宋体" w:hAnsi="宋体"/>
                <w:bCs/>
                <w:iCs/>
                <w:color w:val="auto"/>
                <w:szCs w:val="21"/>
              </w:rPr>
            </w:pP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p>
        </w:tc>
        <w:tc>
          <w:tcPr>
            <w:tcW w:w="5580" w:type="dxa"/>
            <w:vAlign w:val="center"/>
          </w:tcPr>
          <w:p>
            <w:pPr>
              <w:pStyle w:val="25"/>
              <w:spacing w:line="360" w:lineRule="auto"/>
              <w:rPr>
                <w:rFonts w:ascii="宋体" w:hAnsi="宋体"/>
                <w:color w:val="auto"/>
                <w:szCs w:val="21"/>
              </w:rPr>
            </w:pP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p>
        </w:tc>
        <w:tc>
          <w:tcPr>
            <w:tcW w:w="5580" w:type="dxa"/>
            <w:vAlign w:val="center"/>
          </w:tcPr>
          <w:p>
            <w:pPr>
              <w:pStyle w:val="25"/>
              <w:spacing w:line="360" w:lineRule="auto"/>
              <w:rPr>
                <w:rFonts w:ascii="宋体" w:hAnsi="宋体"/>
                <w:bCs/>
                <w:iCs/>
                <w:color w:val="auto"/>
                <w:szCs w:val="21"/>
              </w:rPr>
            </w:pP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p>
        </w:tc>
        <w:tc>
          <w:tcPr>
            <w:tcW w:w="5580" w:type="dxa"/>
            <w:vAlign w:val="center"/>
          </w:tcPr>
          <w:p>
            <w:pPr>
              <w:pStyle w:val="25"/>
              <w:spacing w:line="360" w:lineRule="auto"/>
              <w:rPr>
                <w:rFonts w:ascii="宋体" w:hAnsi="宋体"/>
                <w:color w:val="auto"/>
                <w:szCs w:val="21"/>
              </w:rPr>
            </w:pP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p>
        </w:tc>
        <w:tc>
          <w:tcPr>
            <w:tcW w:w="5580" w:type="dxa"/>
            <w:vAlign w:val="center"/>
          </w:tcPr>
          <w:p>
            <w:pPr>
              <w:pStyle w:val="25"/>
              <w:spacing w:line="360" w:lineRule="auto"/>
              <w:rPr>
                <w:rFonts w:ascii="宋体" w:hAnsi="宋体"/>
                <w:color w:val="auto"/>
                <w:szCs w:val="21"/>
              </w:rPr>
            </w:pP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p>
        </w:tc>
        <w:tc>
          <w:tcPr>
            <w:tcW w:w="5580" w:type="dxa"/>
            <w:vAlign w:val="center"/>
          </w:tcPr>
          <w:p>
            <w:pPr>
              <w:pStyle w:val="25"/>
              <w:spacing w:line="360" w:lineRule="auto"/>
              <w:rPr>
                <w:rFonts w:ascii="宋体" w:hAnsi="宋体"/>
                <w:color w:val="auto"/>
                <w:szCs w:val="21"/>
              </w:rPr>
            </w:pP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r>
              <w:rPr>
                <w:rFonts w:hint="eastAsia" w:ascii="宋体" w:hAnsi="宋体"/>
                <w:color w:val="auto"/>
                <w:szCs w:val="21"/>
              </w:rPr>
              <w:t>……</w:t>
            </w:r>
          </w:p>
        </w:tc>
        <w:tc>
          <w:tcPr>
            <w:tcW w:w="5580" w:type="dxa"/>
            <w:vAlign w:val="center"/>
          </w:tcPr>
          <w:p>
            <w:pPr>
              <w:pStyle w:val="25"/>
              <w:spacing w:line="360" w:lineRule="auto"/>
              <w:rPr>
                <w:rFonts w:ascii="宋体" w:hAnsi="宋体"/>
                <w:color w:val="auto"/>
                <w:szCs w:val="21"/>
              </w:rPr>
            </w:pPr>
            <w:r>
              <w:rPr>
                <w:rFonts w:hint="eastAsia" w:ascii="宋体" w:hAnsi="宋体"/>
                <w:color w:val="auto"/>
                <w:szCs w:val="21"/>
              </w:rPr>
              <w:t>……</w:t>
            </w: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pStyle w:val="100"/>
              <w:keepNext w:val="0"/>
              <w:adjustRightInd/>
              <w:spacing w:before="0" w:after="0" w:line="360" w:lineRule="auto"/>
              <w:textAlignment w:val="auto"/>
              <w:rPr>
                <w:rFonts w:ascii="宋体" w:hAnsi="宋体"/>
                <w:b/>
                <w:bCs/>
                <w:snapToGrid/>
                <w:color w:val="auto"/>
                <w:spacing w:val="0"/>
                <w:kern w:val="2"/>
                <w:sz w:val="21"/>
                <w:szCs w:val="21"/>
              </w:rPr>
            </w:pPr>
            <w:r>
              <w:rPr>
                <w:rFonts w:ascii="宋体" w:hAnsi="宋体"/>
                <w:b/>
                <w:bCs/>
                <w:snapToGrid/>
                <w:color w:val="auto"/>
                <w:spacing w:val="0"/>
                <w:kern w:val="2"/>
                <w:sz w:val="21"/>
                <w:szCs w:val="21"/>
              </w:rPr>
              <w:t>技术评审分项</w:t>
            </w:r>
          </w:p>
        </w:tc>
        <w:tc>
          <w:tcPr>
            <w:tcW w:w="5580" w:type="dxa"/>
            <w:vAlign w:val="center"/>
          </w:tcPr>
          <w:p>
            <w:pPr>
              <w:pStyle w:val="100"/>
              <w:keepNext w:val="0"/>
              <w:adjustRightInd/>
              <w:spacing w:before="0" w:after="0" w:line="360" w:lineRule="auto"/>
              <w:textAlignment w:val="auto"/>
              <w:rPr>
                <w:rFonts w:ascii="宋体" w:hAnsi="宋体"/>
                <w:b/>
                <w:bCs/>
                <w:snapToGrid/>
                <w:color w:val="auto"/>
                <w:spacing w:val="0"/>
                <w:kern w:val="2"/>
                <w:sz w:val="21"/>
                <w:szCs w:val="21"/>
              </w:rPr>
            </w:pPr>
            <w:r>
              <w:rPr>
                <w:rFonts w:hint="eastAsia" w:ascii="宋体" w:hAnsi="宋体"/>
                <w:b/>
                <w:bCs/>
                <w:snapToGrid/>
                <w:color w:val="auto"/>
                <w:spacing w:val="0"/>
                <w:kern w:val="2"/>
                <w:sz w:val="21"/>
                <w:szCs w:val="21"/>
              </w:rPr>
              <w:t>技术</w:t>
            </w:r>
            <w:r>
              <w:rPr>
                <w:rFonts w:ascii="宋体" w:hAnsi="宋体"/>
                <w:b/>
                <w:bCs/>
                <w:snapToGrid/>
                <w:color w:val="auto"/>
                <w:spacing w:val="0"/>
                <w:kern w:val="2"/>
                <w:sz w:val="21"/>
                <w:szCs w:val="21"/>
              </w:rPr>
              <w:t>评审细则</w:t>
            </w:r>
          </w:p>
        </w:tc>
        <w:tc>
          <w:tcPr>
            <w:tcW w:w="2160" w:type="dxa"/>
            <w:vAlign w:val="center"/>
          </w:tcPr>
          <w:p>
            <w:pPr>
              <w:pStyle w:val="100"/>
              <w:keepNext w:val="0"/>
              <w:adjustRightInd/>
              <w:spacing w:before="0" w:after="0" w:line="360" w:lineRule="auto"/>
              <w:textAlignment w:val="auto"/>
              <w:rPr>
                <w:rFonts w:ascii="宋体" w:hAnsi="宋体"/>
                <w:b/>
                <w:bCs/>
                <w:snapToGrid/>
                <w:color w:val="auto"/>
                <w:spacing w:val="0"/>
                <w:kern w:val="2"/>
                <w:sz w:val="21"/>
                <w:szCs w:val="21"/>
              </w:rPr>
            </w:pPr>
            <w:r>
              <w:rPr>
                <w:rFonts w:ascii="宋体" w:hAnsi="宋体"/>
                <w:b/>
                <w:bCs/>
                <w:snapToGrid/>
                <w:color w:val="auto"/>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p>
        </w:tc>
        <w:tc>
          <w:tcPr>
            <w:tcW w:w="5580" w:type="dxa"/>
            <w:vAlign w:val="center"/>
          </w:tcPr>
          <w:p>
            <w:pPr>
              <w:pStyle w:val="25"/>
              <w:spacing w:line="360" w:lineRule="auto"/>
              <w:rPr>
                <w:rFonts w:ascii="宋体" w:hAnsi="宋体"/>
                <w:color w:val="auto"/>
                <w:szCs w:val="21"/>
              </w:rPr>
            </w:pP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rPr>
                <w:rFonts w:ascii="宋体" w:hAnsi="宋体"/>
                <w:color w:val="auto"/>
                <w:szCs w:val="21"/>
              </w:rPr>
            </w:pPr>
          </w:p>
        </w:tc>
        <w:tc>
          <w:tcPr>
            <w:tcW w:w="5580" w:type="dxa"/>
            <w:vAlign w:val="center"/>
          </w:tcPr>
          <w:p>
            <w:pPr>
              <w:spacing w:line="360" w:lineRule="auto"/>
              <w:rPr>
                <w:rFonts w:ascii="宋体" w:hAnsi="宋体"/>
                <w:color w:val="auto"/>
                <w:szCs w:val="21"/>
              </w:rPr>
            </w:pPr>
          </w:p>
        </w:tc>
        <w:tc>
          <w:tcPr>
            <w:tcW w:w="2160" w:type="dxa"/>
            <w:vAlign w:val="center"/>
          </w:tcPr>
          <w:p>
            <w:pPr>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pStyle w:val="25"/>
              <w:spacing w:line="360" w:lineRule="auto"/>
              <w:jc w:val="left"/>
              <w:rPr>
                <w:rFonts w:ascii="宋体" w:hAnsi="宋体"/>
                <w:color w:val="auto"/>
                <w:szCs w:val="21"/>
              </w:rPr>
            </w:pPr>
          </w:p>
        </w:tc>
        <w:tc>
          <w:tcPr>
            <w:tcW w:w="5580" w:type="dxa"/>
            <w:vAlign w:val="center"/>
          </w:tcPr>
          <w:p>
            <w:pPr>
              <w:spacing w:line="360" w:lineRule="auto"/>
              <w:rPr>
                <w:rFonts w:ascii="宋体" w:hAnsi="宋体"/>
                <w:color w:val="auto"/>
                <w:szCs w:val="21"/>
              </w:rPr>
            </w:pPr>
          </w:p>
        </w:tc>
        <w:tc>
          <w:tcPr>
            <w:tcW w:w="2160" w:type="dxa"/>
            <w:vAlign w:val="center"/>
          </w:tcPr>
          <w:p>
            <w:pPr>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jc w:val="left"/>
              <w:rPr>
                <w:rFonts w:ascii="宋体" w:hAnsi="宋体"/>
                <w:color w:val="auto"/>
                <w:szCs w:val="21"/>
              </w:rPr>
            </w:pPr>
          </w:p>
        </w:tc>
        <w:tc>
          <w:tcPr>
            <w:tcW w:w="5580" w:type="dxa"/>
            <w:vAlign w:val="center"/>
          </w:tcPr>
          <w:p>
            <w:pPr>
              <w:spacing w:line="360" w:lineRule="auto"/>
              <w:rPr>
                <w:rFonts w:ascii="宋体" w:hAnsi="宋体"/>
                <w:color w:val="auto"/>
                <w:szCs w:val="21"/>
              </w:rPr>
            </w:pPr>
          </w:p>
        </w:tc>
        <w:tc>
          <w:tcPr>
            <w:tcW w:w="2160" w:type="dxa"/>
            <w:vAlign w:val="center"/>
          </w:tcPr>
          <w:p>
            <w:pPr>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jc w:val="left"/>
              <w:rPr>
                <w:rFonts w:ascii="宋体" w:hAnsi="宋体"/>
                <w:color w:val="auto"/>
                <w:szCs w:val="21"/>
              </w:rPr>
            </w:pPr>
          </w:p>
        </w:tc>
        <w:tc>
          <w:tcPr>
            <w:tcW w:w="5580" w:type="dxa"/>
            <w:vAlign w:val="center"/>
          </w:tcPr>
          <w:p>
            <w:pPr>
              <w:spacing w:line="360" w:lineRule="auto"/>
              <w:rPr>
                <w:rFonts w:ascii="宋体" w:hAnsi="宋体"/>
                <w:color w:val="auto"/>
                <w:szCs w:val="21"/>
              </w:rPr>
            </w:pPr>
          </w:p>
        </w:tc>
        <w:tc>
          <w:tcPr>
            <w:tcW w:w="2160" w:type="dxa"/>
            <w:vAlign w:val="center"/>
          </w:tcPr>
          <w:p>
            <w:pPr>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jc w:val="left"/>
              <w:rPr>
                <w:rFonts w:ascii="宋体" w:hAnsi="宋体"/>
                <w:color w:val="auto"/>
                <w:szCs w:val="21"/>
              </w:rPr>
            </w:pPr>
          </w:p>
        </w:tc>
        <w:tc>
          <w:tcPr>
            <w:tcW w:w="5580" w:type="dxa"/>
            <w:vAlign w:val="center"/>
          </w:tcPr>
          <w:p>
            <w:pPr>
              <w:spacing w:line="360" w:lineRule="auto"/>
              <w:rPr>
                <w:rFonts w:ascii="宋体" w:hAnsi="宋体"/>
                <w:color w:val="auto"/>
                <w:szCs w:val="21"/>
              </w:rPr>
            </w:pPr>
          </w:p>
        </w:tc>
        <w:tc>
          <w:tcPr>
            <w:tcW w:w="2160" w:type="dxa"/>
            <w:vAlign w:val="center"/>
          </w:tcPr>
          <w:p>
            <w:pPr>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48" w:type="dxa"/>
            <w:vAlign w:val="center"/>
          </w:tcPr>
          <w:p>
            <w:pPr>
              <w:spacing w:line="360" w:lineRule="auto"/>
              <w:jc w:val="center"/>
              <w:rPr>
                <w:rFonts w:ascii="宋体" w:hAnsi="宋体"/>
                <w:color w:val="auto"/>
                <w:szCs w:val="21"/>
              </w:rPr>
            </w:pPr>
            <w:r>
              <w:rPr>
                <w:rFonts w:hint="eastAsia" w:ascii="宋体" w:hAnsi="宋体"/>
                <w:color w:val="auto"/>
                <w:szCs w:val="21"/>
              </w:rPr>
              <w:t>……</w:t>
            </w:r>
          </w:p>
        </w:tc>
        <w:tc>
          <w:tcPr>
            <w:tcW w:w="5580" w:type="dxa"/>
            <w:vAlign w:val="center"/>
          </w:tcPr>
          <w:p>
            <w:pPr>
              <w:pStyle w:val="25"/>
              <w:spacing w:line="360" w:lineRule="auto"/>
              <w:rPr>
                <w:rFonts w:ascii="宋体" w:hAnsi="宋体"/>
                <w:color w:val="auto"/>
                <w:szCs w:val="21"/>
              </w:rPr>
            </w:pPr>
            <w:r>
              <w:rPr>
                <w:rFonts w:hint="eastAsia" w:ascii="宋体" w:hAnsi="宋体"/>
                <w:color w:val="auto"/>
                <w:szCs w:val="21"/>
              </w:rPr>
              <w:t>……</w:t>
            </w:r>
          </w:p>
        </w:tc>
        <w:tc>
          <w:tcPr>
            <w:tcW w:w="2160" w:type="dxa"/>
            <w:vAlign w:val="center"/>
          </w:tcPr>
          <w:p>
            <w:pPr>
              <w:pStyle w:val="25"/>
              <w:spacing w:line="360" w:lineRule="auto"/>
              <w:rPr>
                <w:rFonts w:ascii="宋体" w:hAnsi="宋体"/>
                <w:color w:val="auto"/>
                <w:szCs w:val="21"/>
              </w:rPr>
            </w:pPr>
            <w:r>
              <w:rPr>
                <w:rFonts w:ascii="宋体" w:hAnsi="宋体"/>
                <w:color w:val="auto"/>
                <w:szCs w:val="21"/>
              </w:rPr>
              <w:t>见</w:t>
            </w:r>
            <w:r>
              <w:rPr>
                <w:rFonts w:hint="eastAsia"/>
                <w:color w:val="auto"/>
                <w:szCs w:val="21"/>
              </w:rPr>
              <w:t>响应</w:t>
            </w:r>
            <w:r>
              <w:rPr>
                <w:rFonts w:ascii="宋体" w:hAnsi="宋体"/>
                <w:color w:val="auto"/>
                <w:szCs w:val="21"/>
              </w:rPr>
              <w:t>文件第（）页</w:t>
            </w:r>
          </w:p>
        </w:tc>
      </w:tr>
    </w:tbl>
    <w:p>
      <w:pPr>
        <w:adjustRightInd w:val="0"/>
        <w:snapToGrid w:val="0"/>
        <w:spacing w:line="360" w:lineRule="auto"/>
        <w:rPr>
          <w:rFonts w:ascii="宋体" w:hAnsi="宋体"/>
          <w:color w:val="auto"/>
          <w:szCs w:val="21"/>
        </w:rPr>
      </w:pPr>
    </w:p>
    <w:p>
      <w:pPr>
        <w:adjustRightInd w:val="0"/>
        <w:snapToGrid w:val="0"/>
        <w:spacing w:line="360" w:lineRule="auto"/>
        <w:rPr>
          <w:rFonts w:ascii="宋体" w:hAnsi="宋体"/>
          <w:color w:val="auto"/>
          <w:szCs w:val="21"/>
        </w:rPr>
      </w:pPr>
      <w:r>
        <w:rPr>
          <w:rFonts w:hint="eastAsia" w:ascii="宋体" w:hAnsi="宋体"/>
          <w:color w:val="auto"/>
          <w:szCs w:val="21"/>
        </w:rPr>
        <w:t>注：1、供应商应根据《技术评审表》和《商务评审表》的各项内容填写此表，表格可延长。</w:t>
      </w:r>
    </w:p>
    <w:p>
      <w:pPr>
        <w:adjustRightInd w:val="0"/>
        <w:snapToGrid w:val="0"/>
        <w:spacing w:line="360" w:lineRule="auto"/>
        <w:ind w:firstLine="424" w:firstLineChars="202"/>
        <w:rPr>
          <w:rFonts w:ascii="宋体" w:hAnsi="宋体"/>
          <w:color w:val="auto"/>
          <w:szCs w:val="21"/>
        </w:rPr>
      </w:pPr>
      <w:r>
        <w:rPr>
          <w:rFonts w:hint="eastAsia" w:ascii="宋体" w:hAnsi="宋体"/>
          <w:color w:val="auto"/>
          <w:szCs w:val="21"/>
        </w:rPr>
        <w:t>2、按评审项的顺序填写。</w:t>
      </w:r>
    </w:p>
    <w:p>
      <w:pPr>
        <w:pStyle w:val="4"/>
        <w:keepNext w:val="0"/>
        <w:keepLines w:val="0"/>
        <w:widowControl/>
        <w:spacing w:before="240" w:after="188" w:line="400" w:lineRule="exact"/>
        <w:ind w:firstLine="0"/>
        <w:jc w:val="center"/>
        <w:rPr>
          <w:rFonts w:hAnsi="宋体"/>
          <w:color w:val="auto"/>
          <w:sz w:val="21"/>
        </w:rPr>
      </w:pPr>
      <w:r>
        <w:rPr>
          <w:rFonts w:hAnsi="宋体" w:cs="Arial"/>
          <w:color w:val="auto"/>
          <w:sz w:val="28"/>
        </w:rPr>
        <w:br w:type="page"/>
      </w:r>
      <w:bookmarkEnd w:id="239"/>
      <w:bookmarkStart w:id="262" w:name="_Toc18935131"/>
      <w:bookmarkStart w:id="263" w:name="_Toc469663689"/>
      <w:bookmarkStart w:id="264" w:name="_Toc16437"/>
      <w:bookmarkStart w:id="265" w:name="_Toc12806"/>
      <w:bookmarkStart w:id="266" w:name="_Toc21887"/>
      <w:bookmarkStart w:id="267" w:name="_Toc11486"/>
      <w:bookmarkStart w:id="268" w:name="_Toc463775716"/>
      <w:bookmarkStart w:id="269" w:name="_Toc18934989"/>
      <w:bookmarkStart w:id="270" w:name="_Toc14705"/>
      <w:r>
        <w:rPr>
          <w:rFonts w:hint="eastAsia" w:hAnsi="宋体"/>
          <w:bCs/>
          <w:color w:val="auto"/>
        </w:rPr>
        <w:t>第三章 资格审查文件</w:t>
      </w:r>
      <w:bookmarkEnd w:id="262"/>
      <w:bookmarkEnd w:id="263"/>
      <w:bookmarkEnd w:id="264"/>
      <w:bookmarkEnd w:id="265"/>
      <w:bookmarkEnd w:id="266"/>
      <w:bookmarkEnd w:id="267"/>
      <w:bookmarkEnd w:id="268"/>
      <w:bookmarkEnd w:id="269"/>
      <w:bookmarkEnd w:id="270"/>
    </w:p>
    <w:p>
      <w:pPr>
        <w:pStyle w:val="4"/>
        <w:keepNext w:val="0"/>
        <w:keepLines w:val="0"/>
        <w:widowControl/>
        <w:spacing w:before="188" w:after="188" w:line="400" w:lineRule="exact"/>
        <w:ind w:firstLine="0"/>
        <w:jc w:val="center"/>
        <w:rPr>
          <w:rFonts w:hAnsi="宋体"/>
          <w:color w:val="auto"/>
          <w:sz w:val="21"/>
          <w:szCs w:val="21"/>
        </w:rPr>
      </w:pPr>
      <w:bookmarkStart w:id="271" w:name="_Toc18935132"/>
      <w:bookmarkStart w:id="272" w:name="_Toc29843"/>
      <w:bookmarkStart w:id="273" w:name="_Toc469663690"/>
      <w:bookmarkStart w:id="274" w:name="_Toc2746"/>
      <w:bookmarkStart w:id="275" w:name="_Toc24218"/>
      <w:bookmarkStart w:id="276" w:name="_Toc20994"/>
      <w:bookmarkStart w:id="277" w:name="_Toc14457"/>
      <w:bookmarkStart w:id="278" w:name="_Toc463775717"/>
      <w:bookmarkStart w:id="279" w:name="_Toc18934990"/>
      <w:bookmarkStart w:id="280" w:name="_Toc16760"/>
      <w:r>
        <w:rPr>
          <w:rFonts w:hint="eastAsia" w:hAnsi="宋体"/>
          <w:color w:val="auto"/>
          <w:sz w:val="21"/>
          <w:szCs w:val="21"/>
        </w:rPr>
        <w:t xml:space="preserve">3-1  </w:t>
      </w:r>
      <w:bookmarkStart w:id="281" w:name="_Toc426557870"/>
      <w:r>
        <w:rPr>
          <w:rFonts w:hint="eastAsia" w:hAnsi="宋体"/>
          <w:color w:val="auto"/>
          <w:sz w:val="21"/>
          <w:szCs w:val="21"/>
        </w:rPr>
        <w:t>供应商资格声明函</w:t>
      </w:r>
      <w:bookmarkEnd w:id="271"/>
      <w:bookmarkEnd w:id="272"/>
      <w:bookmarkEnd w:id="273"/>
      <w:bookmarkEnd w:id="274"/>
      <w:bookmarkEnd w:id="275"/>
      <w:bookmarkEnd w:id="276"/>
      <w:bookmarkEnd w:id="277"/>
      <w:bookmarkEnd w:id="278"/>
      <w:bookmarkEnd w:id="279"/>
      <w:bookmarkEnd w:id="280"/>
      <w:bookmarkEnd w:id="281"/>
    </w:p>
    <w:p>
      <w:pPr>
        <w:rPr>
          <w:b/>
          <w:color w:val="auto"/>
          <w:szCs w:val="21"/>
        </w:rPr>
      </w:pPr>
      <w:r>
        <w:rPr>
          <w:rFonts w:hint="eastAsia"/>
          <w:b/>
          <w:color w:val="auto"/>
          <w:szCs w:val="21"/>
        </w:rPr>
        <w:t>广东熙泽企业管理有限公司：</w:t>
      </w:r>
    </w:p>
    <w:p>
      <w:pPr>
        <w:autoSpaceDE w:val="0"/>
        <w:autoSpaceDN w:val="0"/>
        <w:adjustRightInd w:val="0"/>
        <w:spacing w:line="360" w:lineRule="auto"/>
        <w:ind w:firstLine="420" w:firstLineChars="200"/>
        <w:rPr>
          <w:rFonts w:ascii="宋体" w:hAnsi="宋体"/>
          <w:color w:val="auto"/>
          <w:sz w:val="16"/>
          <w:szCs w:val="16"/>
        </w:rPr>
      </w:pPr>
      <w:r>
        <w:rPr>
          <w:rFonts w:hint="eastAsia" w:ascii="宋体" w:hAnsi="宋体"/>
          <w:color w:val="auto"/>
          <w:szCs w:val="21"/>
        </w:rPr>
        <w:t>关于贵公司的（项目编号：      ）的磋商邀请，本单位（企业）自愿参加磋商，本单位具备</w:t>
      </w:r>
      <w:r>
        <w:rPr>
          <w:rFonts w:hint="eastAsia" w:ascii="宋体" w:hAnsi="宋体"/>
          <w:bCs/>
          <w:color w:val="auto"/>
          <w:szCs w:val="21"/>
        </w:rPr>
        <w:t>《中华人民共和国政府采购法》第二十二条</w:t>
      </w:r>
      <w:r>
        <w:rPr>
          <w:rFonts w:hint="eastAsia" w:ascii="宋体" w:hAnsi="宋体" w:cs="宋体"/>
          <w:color w:val="auto"/>
          <w:szCs w:val="21"/>
        </w:rPr>
        <w:t>规定的条件</w:t>
      </w:r>
      <w:r>
        <w:rPr>
          <w:rFonts w:hint="eastAsia" w:ascii="宋体" w:hAnsi="宋体"/>
          <w:bCs/>
          <w:color w:val="auto"/>
          <w:szCs w:val="21"/>
        </w:rPr>
        <w:t>，现承诺如下：</w:t>
      </w:r>
    </w:p>
    <w:p>
      <w:pPr>
        <w:numPr>
          <w:ilvl w:val="1"/>
          <w:numId w:val="34"/>
        </w:numPr>
        <w:tabs>
          <w:tab w:val="left" w:pos="510"/>
        </w:tabs>
        <w:snapToGrid w:val="0"/>
        <w:spacing w:line="360" w:lineRule="auto"/>
        <w:rPr>
          <w:rFonts w:ascii="宋体" w:hAnsi="宋体"/>
          <w:bCs/>
          <w:color w:val="auto"/>
          <w:szCs w:val="21"/>
        </w:rPr>
      </w:pPr>
      <w:r>
        <w:rPr>
          <w:rFonts w:hint="eastAsia" w:ascii="宋体" w:hAnsi="宋体"/>
          <w:bCs/>
          <w:color w:val="auto"/>
          <w:szCs w:val="21"/>
        </w:rPr>
        <w:t>我方已经依法缴纳了税费及社会保险费用，如有需要，可随时向采购方提供近三个月内的相关缴费证明，以便核查；</w:t>
      </w:r>
    </w:p>
    <w:p>
      <w:pPr>
        <w:numPr>
          <w:ilvl w:val="1"/>
          <w:numId w:val="34"/>
        </w:numPr>
        <w:tabs>
          <w:tab w:val="left" w:pos="510"/>
        </w:tabs>
        <w:snapToGrid w:val="0"/>
        <w:spacing w:line="360" w:lineRule="auto"/>
        <w:rPr>
          <w:rFonts w:ascii="宋体" w:hAnsi="宋体"/>
          <w:bCs/>
          <w:color w:val="auto"/>
          <w:szCs w:val="21"/>
        </w:rPr>
      </w:pPr>
      <w:r>
        <w:rPr>
          <w:rFonts w:hint="eastAsia" w:ascii="宋体" w:hAnsi="宋体"/>
          <w:bCs/>
          <w:color w:val="auto"/>
          <w:szCs w:val="21"/>
        </w:rPr>
        <w:t>我方已经依法建立健全的财务会计制度，如有需要，可随时向采购方提供相关的财务状况报告，以便核查；</w:t>
      </w:r>
    </w:p>
    <w:p>
      <w:pPr>
        <w:numPr>
          <w:ilvl w:val="1"/>
          <w:numId w:val="34"/>
        </w:numPr>
        <w:tabs>
          <w:tab w:val="left" w:pos="510"/>
        </w:tabs>
        <w:snapToGrid w:val="0"/>
        <w:spacing w:line="360" w:lineRule="auto"/>
        <w:rPr>
          <w:rFonts w:ascii="宋体" w:hAnsi="宋体"/>
          <w:bCs/>
          <w:color w:val="auto"/>
          <w:szCs w:val="21"/>
        </w:rPr>
      </w:pPr>
      <w:r>
        <w:rPr>
          <w:rFonts w:hint="eastAsia" w:ascii="宋体" w:hAnsi="宋体"/>
          <w:bCs/>
          <w:color w:val="auto"/>
          <w:szCs w:val="21"/>
        </w:rPr>
        <w:t>我方</w:t>
      </w:r>
      <w:r>
        <w:rPr>
          <w:rFonts w:hint="eastAsia" w:ascii="宋体" w:hAnsi="宋体" w:cs="宋体"/>
          <w:color w:val="auto"/>
          <w:szCs w:val="21"/>
        </w:rPr>
        <w:t>在参加本次政府采购活动前三年内，在经营活动中（公司或法人）无重大违法记录（因违法经营受到刑事处罚或者责令停产停业、吊销许可证或者执照、较大数额罚款等行政处罚）；未因涉嫌违法违纪被检察机关立案调查</w:t>
      </w:r>
      <w:r>
        <w:rPr>
          <w:rFonts w:hint="eastAsia" w:ascii="宋体" w:hAnsi="宋体"/>
          <w:bCs/>
          <w:color w:val="auto"/>
          <w:szCs w:val="21"/>
        </w:rPr>
        <w:t>；</w:t>
      </w:r>
    </w:p>
    <w:p>
      <w:pPr>
        <w:numPr>
          <w:ilvl w:val="1"/>
          <w:numId w:val="34"/>
        </w:numPr>
        <w:tabs>
          <w:tab w:val="left" w:pos="510"/>
        </w:tabs>
        <w:snapToGrid w:val="0"/>
        <w:spacing w:line="360" w:lineRule="auto"/>
        <w:rPr>
          <w:rFonts w:ascii="宋体" w:hAnsi="宋体"/>
          <w:bCs/>
          <w:color w:val="auto"/>
          <w:szCs w:val="21"/>
        </w:rPr>
      </w:pPr>
      <w:r>
        <w:rPr>
          <w:rFonts w:hint="eastAsia" w:ascii="宋体" w:hAnsi="宋体"/>
          <w:bCs/>
          <w:color w:val="auto"/>
          <w:szCs w:val="21"/>
        </w:rPr>
        <w:t>我方具备履行合同所必需的设备和专业技术能力，如有需要，可随时向采购方提供相关的证明文件，以便核查；</w:t>
      </w:r>
    </w:p>
    <w:p>
      <w:pPr>
        <w:numPr>
          <w:ilvl w:val="1"/>
          <w:numId w:val="34"/>
        </w:numPr>
        <w:tabs>
          <w:tab w:val="left" w:pos="510"/>
        </w:tabs>
        <w:snapToGrid w:val="0"/>
        <w:spacing w:line="360" w:lineRule="auto"/>
        <w:rPr>
          <w:rFonts w:ascii="宋体" w:hAnsi="宋体"/>
          <w:bCs/>
          <w:color w:val="auto"/>
          <w:szCs w:val="21"/>
        </w:rPr>
      </w:pPr>
      <w:r>
        <w:rPr>
          <w:rFonts w:hint="eastAsia" w:ascii="宋体" w:hAnsi="宋体"/>
          <w:bCs/>
          <w:color w:val="auto"/>
          <w:szCs w:val="21"/>
        </w:rPr>
        <w:t>我方符合</w:t>
      </w:r>
      <w:r>
        <w:rPr>
          <w:rFonts w:hint="eastAsia" w:ascii="宋体" w:hAnsi="宋体" w:cs="宋体"/>
          <w:color w:val="auto"/>
          <w:szCs w:val="21"/>
        </w:rPr>
        <w:t>法律、行政法规规定的其他条件；</w:t>
      </w:r>
    </w:p>
    <w:p>
      <w:pPr>
        <w:numPr>
          <w:ilvl w:val="1"/>
          <w:numId w:val="34"/>
        </w:numPr>
        <w:tabs>
          <w:tab w:val="left" w:pos="510"/>
        </w:tabs>
        <w:snapToGrid w:val="0"/>
        <w:spacing w:line="360" w:lineRule="auto"/>
        <w:rPr>
          <w:rFonts w:ascii="宋体" w:hAnsi="宋体"/>
          <w:bCs/>
          <w:color w:val="auto"/>
          <w:szCs w:val="21"/>
        </w:rPr>
      </w:pPr>
      <w:r>
        <w:rPr>
          <w:rFonts w:hint="eastAsia" w:ascii="宋体" w:hAnsi="宋体"/>
          <w:bCs/>
          <w:color w:val="auto"/>
          <w:szCs w:val="21"/>
        </w:rPr>
        <w:t>本次</w:t>
      </w:r>
      <w:r>
        <w:rPr>
          <w:rFonts w:hint="eastAsia"/>
          <w:color w:val="auto"/>
          <w:szCs w:val="21"/>
        </w:rPr>
        <w:t>响应</w:t>
      </w:r>
      <w:r>
        <w:rPr>
          <w:rFonts w:hint="eastAsia" w:ascii="宋体" w:hAnsi="宋体"/>
          <w:bCs/>
          <w:color w:val="auto"/>
          <w:szCs w:val="21"/>
        </w:rPr>
        <w:t>文件的内容如有虚假或与事实不符的，磋商小组可将我方作</w:t>
      </w:r>
      <w:r>
        <w:rPr>
          <w:rFonts w:hint="eastAsia"/>
          <w:color w:val="auto"/>
          <w:szCs w:val="21"/>
        </w:rPr>
        <w:t>响应</w:t>
      </w:r>
      <w:r>
        <w:rPr>
          <w:rFonts w:hint="eastAsia" w:ascii="宋体" w:hAnsi="宋体"/>
          <w:bCs/>
          <w:color w:val="auto"/>
          <w:szCs w:val="21"/>
        </w:rPr>
        <w:t>无效处理，我方愿意承担相应的法律责任；</w:t>
      </w:r>
    </w:p>
    <w:p>
      <w:pPr>
        <w:numPr>
          <w:ilvl w:val="1"/>
          <w:numId w:val="34"/>
        </w:numPr>
        <w:tabs>
          <w:tab w:val="left" w:pos="510"/>
        </w:tabs>
        <w:snapToGrid w:val="0"/>
        <w:spacing w:line="360" w:lineRule="auto"/>
        <w:rPr>
          <w:rFonts w:ascii="宋体" w:hAnsi="宋体"/>
          <w:bCs/>
          <w:color w:val="auto"/>
          <w:szCs w:val="21"/>
        </w:rPr>
      </w:pPr>
      <w:r>
        <w:rPr>
          <w:rFonts w:hint="eastAsia" w:ascii="宋体" w:hAnsi="宋体"/>
          <w:bCs/>
          <w:color w:val="auto"/>
          <w:szCs w:val="21"/>
        </w:rPr>
        <w:t>我方已清楚磋商文件的要求及有关文件规定，承诺在本次采购活动中，如有违法、违规、弄虚作假行为，所造成的损失、不良后果及法律责任，一律由我公司（企业）承担。</w:t>
      </w:r>
    </w:p>
    <w:p>
      <w:pPr>
        <w:spacing w:line="360" w:lineRule="auto"/>
        <w:ind w:firstLine="420"/>
        <w:rPr>
          <w:color w:val="auto"/>
          <w:szCs w:val="21"/>
        </w:rPr>
      </w:pPr>
      <w:r>
        <w:rPr>
          <w:rFonts w:hint="eastAsia"/>
          <w:color w:val="auto"/>
          <w:szCs w:val="21"/>
        </w:rPr>
        <w:t>特此声明！</w:t>
      </w:r>
    </w:p>
    <w:p>
      <w:pPr>
        <w:spacing w:line="360" w:lineRule="auto"/>
        <w:ind w:firstLine="420"/>
        <w:rPr>
          <w:rFonts w:ascii="宋体" w:hAnsi="宋体"/>
          <w:b/>
          <w:color w:val="auto"/>
          <w:szCs w:val="21"/>
        </w:rPr>
      </w:pPr>
    </w:p>
    <w:p>
      <w:pPr>
        <w:tabs>
          <w:tab w:val="left" w:pos="2268"/>
        </w:tabs>
        <w:spacing w:line="420" w:lineRule="exact"/>
        <w:rPr>
          <w:rFonts w:ascii="宋体" w:hAnsi="宋体"/>
          <w:color w:val="auto"/>
          <w:szCs w:val="21"/>
        </w:rPr>
      </w:pPr>
      <w:r>
        <w:rPr>
          <w:rFonts w:hint="eastAsia" w:ascii="宋体" w:hAnsi="宋体"/>
          <w:color w:val="auto"/>
          <w:szCs w:val="21"/>
        </w:rPr>
        <w:t>供应商名称（并加盖法人公章）：</w:t>
      </w:r>
    </w:p>
    <w:p>
      <w:pPr>
        <w:tabs>
          <w:tab w:val="left" w:pos="2268"/>
        </w:tabs>
        <w:spacing w:line="420" w:lineRule="exact"/>
        <w:rPr>
          <w:rFonts w:ascii="宋体" w:hAnsi="宋体"/>
          <w:color w:val="auto"/>
          <w:szCs w:val="21"/>
        </w:rPr>
      </w:pPr>
    </w:p>
    <w:p>
      <w:pPr>
        <w:tabs>
          <w:tab w:val="left" w:pos="2268"/>
        </w:tabs>
        <w:spacing w:line="420" w:lineRule="exact"/>
        <w:rPr>
          <w:rFonts w:ascii="宋体" w:hAnsi="宋体"/>
          <w:color w:val="auto"/>
          <w:szCs w:val="21"/>
        </w:rPr>
      </w:pPr>
      <w:r>
        <w:rPr>
          <w:rFonts w:hint="eastAsia" w:ascii="宋体" w:hAnsi="宋体"/>
          <w:color w:val="auto"/>
          <w:szCs w:val="21"/>
        </w:rPr>
        <w:t>供应商法定代表人或其委托人签名或印鉴：</w:t>
      </w:r>
    </w:p>
    <w:p>
      <w:pPr>
        <w:tabs>
          <w:tab w:val="left" w:pos="2268"/>
        </w:tabs>
        <w:spacing w:line="420" w:lineRule="exact"/>
        <w:rPr>
          <w:rFonts w:ascii="宋体" w:hAnsi="宋体"/>
          <w:color w:val="auto"/>
          <w:szCs w:val="21"/>
        </w:rPr>
      </w:pPr>
    </w:p>
    <w:p>
      <w:pPr>
        <w:tabs>
          <w:tab w:val="left" w:pos="2268"/>
        </w:tabs>
        <w:spacing w:line="420" w:lineRule="exact"/>
        <w:rPr>
          <w:rFonts w:hAnsi="宋体" w:cs="Arial"/>
          <w:color w:val="auto"/>
          <w:sz w:val="28"/>
        </w:rPr>
      </w:pPr>
      <w:r>
        <w:rPr>
          <w:rFonts w:hint="eastAsia" w:ascii="宋体" w:hAnsi="宋体"/>
          <w:color w:val="auto"/>
          <w:szCs w:val="21"/>
        </w:rPr>
        <w:t>日期：2020年    月    日</w:t>
      </w:r>
    </w:p>
    <w:p>
      <w:pPr>
        <w:tabs>
          <w:tab w:val="left" w:pos="2268"/>
        </w:tabs>
        <w:spacing w:line="420" w:lineRule="exact"/>
        <w:rPr>
          <w:rFonts w:hAnsi="宋体" w:cs="Arial"/>
          <w:color w:val="auto"/>
          <w:sz w:val="28"/>
        </w:rPr>
      </w:pPr>
    </w:p>
    <w:p>
      <w:pPr>
        <w:tabs>
          <w:tab w:val="left" w:pos="2268"/>
        </w:tabs>
        <w:spacing w:line="420" w:lineRule="exact"/>
        <w:rPr>
          <w:rFonts w:ascii="宋体" w:hAnsi="宋体"/>
          <w:color w:val="auto"/>
          <w:szCs w:val="21"/>
        </w:rPr>
      </w:pPr>
      <w:r>
        <w:rPr>
          <w:rFonts w:hint="eastAsia" w:ascii="宋体" w:hAnsi="宋体"/>
          <w:b/>
          <w:bCs/>
          <w:color w:val="auto"/>
          <w:szCs w:val="21"/>
        </w:rPr>
        <w:t>附件：营业执照或登记证副本复印件；</w:t>
      </w:r>
    </w:p>
    <w:p>
      <w:pPr>
        <w:pStyle w:val="4"/>
        <w:keepNext w:val="0"/>
        <w:keepLines w:val="0"/>
        <w:widowControl/>
        <w:spacing w:before="188" w:after="188" w:line="400" w:lineRule="exact"/>
        <w:ind w:left="180" w:firstLine="0"/>
        <w:jc w:val="center"/>
        <w:rPr>
          <w:rFonts w:ascii="Times New Roman" w:hAnsi="Times New Roman"/>
          <w:color w:val="auto"/>
          <w:kern w:val="44"/>
          <w:sz w:val="32"/>
        </w:rPr>
      </w:pPr>
      <w:r>
        <w:rPr>
          <w:rFonts w:hAnsi="宋体"/>
          <w:b w:val="0"/>
          <w:color w:val="auto"/>
          <w:szCs w:val="21"/>
        </w:rPr>
        <w:br w:type="page"/>
      </w:r>
      <w:bookmarkStart w:id="282" w:name="_Toc12654"/>
      <w:bookmarkStart w:id="283" w:name="_Toc469663692"/>
      <w:bookmarkStart w:id="284" w:name="_Toc11952"/>
      <w:bookmarkStart w:id="285" w:name="_Toc426557873"/>
      <w:bookmarkStart w:id="286" w:name="_Toc13117"/>
    </w:p>
    <w:p>
      <w:pPr>
        <w:pStyle w:val="4"/>
        <w:keepNext w:val="0"/>
        <w:keepLines w:val="0"/>
        <w:tabs>
          <w:tab w:val="left" w:pos="567"/>
        </w:tabs>
        <w:ind w:left="420" w:firstLine="0"/>
        <w:jc w:val="center"/>
        <w:rPr>
          <w:rFonts w:hAnsi="宋体"/>
          <w:bCs/>
          <w:color w:val="auto"/>
        </w:rPr>
      </w:pPr>
      <w:bookmarkStart w:id="287" w:name="_Toc18935133"/>
      <w:bookmarkStart w:id="288" w:name="_Toc18934991"/>
      <w:bookmarkStart w:id="289" w:name="_Toc7118"/>
      <w:bookmarkStart w:id="290" w:name="_Toc729"/>
      <w:r>
        <w:rPr>
          <w:rFonts w:hint="eastAsia" w:ascii="Times New Roman" w:hAnsi="Times New Roman"/>
          <w:color w:val="auto"/>
          <w:kern w:val="44"/>
          <w:sz w:val="32"/>
        </w:rPr>
        <w:t>第四章 响应文件商务部分</w:t>
      </w:r>
      <w:bookmarkEnd w:id="282"/>
      <w:bookmarkEnd w:id="283"/>
      <w:bookmarkEnd w:id="284"/>
      <w:bookmarkEnd w:id="285"/>
      <w:bookmarkEnd w:id="286"/>
      <w:bookmarkEnd w:id="287"/>
      <w:bookmarkEnd w:id="288"/>
      <w:bookmarkEnd w:id="289"/>
      <w:bookmarkEnd w:id="290"/>
    </w:p>
    <w:bookmarkEnd w:id="225"/>
    <w:bookmarkEnd w:id="226"/>
    <w:bookmarkEnd w:id="227"/>
    <w:p>
      <w:pPr>
        <w:pStyle w:val="90"/>
        <w:numPr>
          <w:ilvl w:val="0"/>
          <w:numId w:val="35"/>
        </w:numPr>
        <w:tabs>
          <w:tab w:val="left" w:pos="567"/>
        </w:tabs>
        <w:ind w:left="357" w:hanging="357" w:firstLineChars="0"/>
        <w:jc w:val="center"/>
        <w:outlineLvl w:val="1"/>
        <w:rPr>
          <w:rFonts w:ascii="宋体" w:hAnsi="宋体"/>
          <w:b/>
          <w:vanish/>
          <w:color w:val="auto"/>
          <w:szCs w:val="21"/>
        </w:rPr>
      </w:pPr>
      <w:bookmarkStart w:id="291" w:name="_Toc467674692"/>
      <w:bookmarkEnd w:id="291"/>
      <w:bookmarkStart w:id="292" w:name="_Toc10175"/>
      <w:bookmarkEnd w:id="292"/>
      <w:bookmarkStart w:id="293" w:name="_Toc18935134"/>
      <w:bookmarkEnd w:id="293"/>
      <w:bookmarkStart w:id="294" w:name="_Toc24848"/>
      <w:bookmarkEnd w:id="294"/>
      <w:bookmarkStart w:id="295" w:name="_Toc14255"/>
      <w:bookmarkEnd w:id="295"/>
      <w:bookmarkStart w:id="296" w:name="_Toc469663693"/>
      <w:bookmarkEnd w:id="296"/>
      <w:bookmarkStart w:id="297" w:name="_Toc2668"/>
      <w:bookmarkEnd w:id="297"/>
      <w:bookmarkStart w:id="298" w:name="_Toc30716"/>
      <w:bookmarkEnd w:id="298"/>
      <w:bookmarkStart w:id="299" w:name="_Toc463786202"/>
      <w:bookmarkEnd w:id="299"/>
      <w:bookmarkStart w:id="300" w:name="_Toc25720"/>
      <w:bookmarkEnd w:id="300"/>
      <w:bookmarkStart w:id="301" w:name="_Toc463786161"/>
      <w:bookmarkEnd w:id="301"/>
      <w:bookmarkStart w:id="302" w:name="_Toc18934992"/>
      <w:bookmarkEnd w:id="302"/>
      <w:bookmarkStart w:id="303" w:name="_Toc466565581"/>
      <w:bookmarkEnd w:id="303"/>
      <w:bookmarkStart w:id="304" w:name="_Toc469650224"/>
      <w:bookmarkEnd w:id="304"/>
      <w:bookmarkStart w:id="305" w:name="_Toc467669708"/>
      <w:bookmarkEnd w:id="305"/>
    </w:p>
    <w:p>
      <w:pPr>
        <w:pStyle w:val="90"/>
        <w:numPr>
          <w:ilvl w:val="0"/>
          <w:numId w:val="35"/>
        </w:numPr>
        <w:tabs>
          <w:tab w:val="left" w:pos="567"/>
        </w:tabs>
        <w:ind w:firstLineChars="0"/>
        <w:jc w:val="center"/>
        <w:outlineLvl w:val="1"/>
        <w:rPr>
          <w:rFonts w:ascii="宋体" w:hAnsi="宋体"/>
          <w:b/>
          <w:vanish/>
          <w:color w:val="auto"/>
          <w:szCs w:val="21"/>
        </w:rPr>
      </w:pPr>
      <w:bookmarkStart w:id="306" w:name="_Toc463786203"/>
      <w:bookmarkEnd w:id="306"/>
      <w:bookmarkStart w:id="307" w:name="_Toc463774863"/>
      <w:bookmarkEnd w:id="307"/>
      <w:bookmarkStart w:id="308" w:name="_Toc463774725"/>
      <w:bookmarkEnd w:id="308"/>
      <w:bookmarkStart w:id="309" w:name="_Toc13111"/>
      <w:bookmarkEnd w:id="309"/>
      <w:bookmarkStart w:id="310" w:name="_Toc463775679"/>
      <w:bookmarkEnd w:id="310"/>
      <w:bookmarkStart w:id="311" w:name="_Toc12185"/>
      <w:bookmarkEnd w:id="311"/>
      <w:bookmarkStart w:id="312" w:name="_Toc13413"/>
      <w:bookmarkEnd w:id="312"/>
      <w:bookmarkStart w:id="313" w:name="_Toc466565582"/>
      <w:bookmarkEnd w:id="313"/>
      <w:bookmarkStart w:id="314" w:name="_Toc469663694"/>
      <w:bookmarkEnd w:id="314"/>
      <w:bookmarkStart w:id="315" w:name="_Toc469650225"/>
      <w:bookmarkEnd w:id="315"/>
      <w:bookmarkStart w:id="316" w:name="_Toc463775720"/>
      <w:bookmarkEnd w:id="316"/>
      <w:bookmarkStart w:id="317" w:name="_Toc18934993"/>
      <w:bookmarkEnd w:id="317"/>
      <w:bookmarkStart w:id="318" w:name="_Toc8655"/>
      <w:bookmarkEnd w:id="318"/>
      <w:bookmarkStart w:id="319" w:name="_Toc467674693"/>
      <w:bookmarkEnd w:id="319"/>
      <w:bookmarkStart w:id="320" w:name="_Toc13181"/>
      <w:bookmarkEnd w:id="320"/>
      <w:bookmarkStart w:id="321" w:name="_Toc467669709"/>
      <w:bookmarkEnd w:id="321"/>
      <w:bookmarkStart w:id="322" w:name="_Toc463786162"/>
      <w:bookmarkEnd w:id="322"/>
      <w:bookmarkStart w:id="323" w:name="_Toc18935135"/>
      <w:bookmarkEnd w:id="323"/>
      <w:bookmarkStart w:id="324" w:name="_Toc12934"/>
      <w:bookmarkEnd w:id="324"/>
    </w:p>
    <w:p>
      <w:pPr>
        <w:pStyle w:val="4"/>
        <w:keepNext w:val="0"/>
        <w:keepLines w:val="0"/>
        <w:numPr>
          <w:ilvl w:val="1"/>
          <w:numId w:val="35"/>
        </w:numPr>
        <w:tabs>
          <w:tab w:val="left" w:pos="567"/>
        </w:tabs>
        <w:spacing w:before="0" w:after="0" w:line="240" w:lineRule="auto"/>
        <w:jc w:val="center"/>
        <w:rPr>
          <w:rFonts w:hAnsi="宋体"/>
          <w:color w:val="auto"/>
          <w:sz w:val="21"/>
          <w:szCs w:val="21"/>
        </w:rPr>
      </w:pPr>
      <w:bookmarkStart w:id="325" w:name="_Toc21606"/>
      <w:bookmarkStart w:id="326" w:name="_Toc469663695"/>
      <w:bookmarkStart w:id="327" w:name="_Toc11334"/>
      <w:bookmarkStart w:id="328" w:name="_Toc3769"/>
      <w:bookmarkStart w:id="329" w:name="_Toc18935136"/>
      <w:bookmarkStart w:id="330" w:name="_Toc10760"/>
      <w:bookmarkStart w:id="331" w:name="_Toc463775721"/>
      <w:bookmarkStart w:id="332" w:name="_Toc18934994"/>
      <w:bookmarkStart w:id="333" w:name="_Toc16580"/>
      <w:bookmarkStart w:id="334" w:name="_Toc15930"/>
      <w:r>
        <w:rPr>
          <w:rFonts w:hint="eastAsia" w:hAnsi="宋体"/>
          <w:color w:val="auto"/>
          <w:sz w:val="21"/>
          <w:szCs w:val="21"/>
        </w:rPr>
        <w:t>报价函</w:t>
      </w:r>
      <w:bookmarkEnd w:id="325"/>
      <w:bookmarkEnd w:id="326"/>
      <w:bookmarkEnd w:id="327"/>
      <w:bookmarkEnd w:id="328"/>
      <w:bookmarkEnd w:id="329"/>
      <w:bookmarkEnd w:id="330"/>
      <w:bookmarkEnd w:id="331"/>
      <w:bookmarkEnd w:id="332"/>
      <w:bookmarkEnd w:id="333"/>
      <w:bookmarkEnd w:id="334"/>
    </w:p>
    <w:p>
      <w:pPr>
        <w:spacing w:beforeLines="50" w:afterLines="50" w:line="420" w:lineRule="exact"/>
        <w:rPr>
          <w:rFonts w:ascii="宋体" w:hAnsi="宋体" w:cs="Arial"/>
          <w:color w:val="auto"/>
        </w:rPr>
      </w:pPr>
      <w:r>
        <w:rPr>
          <w:rFonts w:hint="eastAsia" w:ascii="宋体" w:hAnsi="宋体" w:cs="Arial"/>
          <w:color w:val="auto"/>
        </w:rPr>
        <w:t>致：广东熙泽企业管理有限公司</w:t>
      </w:r>
    </w:p>
    <w:p>
      <w:pPr>
        <w:autoSpaceDE w:val="0"/>
        <w:autoSpaceDN w:val="0"/>
        <w:adjustRightInd w:val="0"/>
        <w:spacing w:line="360" w:lineRule="auto"/>
        <w:ind w:firstLine="420" w:firstLineChars="200"/>
        <w:rPr>
          <w:rFonts w:ascii="宋体" w:hAnsi="宋体"/>
          <w:color w:val="auto"/>
          <w:sz w:val="16"/>
          <w:szCs w:val="16"/>
        </w:rPr>
      </w:pPr>
      <w:r>
        <w:rPr>
          <w:rFonts w:hint="eastAsia" w:ascii="宋体" w:hAnsi="宋体" w:cs="Arial"/>
          <w:color w:val="auto"/>
        </w:rPr>
        <w:t>根据贵方为</w:t>
      </w:r>
      <w:r>
        <w:rPr>
          <w:rFonts w:hint="eastAsia" w:ascii="宋体" w:hAnsi="宋体"/>
          <w:bCs/>
          <w:color w:val="auto"/>
          <w:kern w:val="28"/>
        </w:rPr>
        <w:t>（项目编号：）</w:t>
      </w:r>
      <w:r>
        <w:rPr>
          <w:rFonts w:hint="eastAsia" w:ascii="宋体" w:hAnsi="宋体" w:cs="Arial"/>
          <w:color w:val="auto"/>
        </w:rPr>
        <w:t>的磋商邀请，</w:t>
      </w:r>
      <w:r>
        <w:rPr>
          <w:rFonts w:hint="eastAsia" w:ascii="宋体" w:hAnsi="宋体"/>
          <w:bCs/>
          <w:color w:val="auto"/>
          <w:kern w:val="28"/>
        </w:rPr>
        <w:t>本人代表供应商</w:t>
      </w:r>
      <w:r>
        <w:rPr>
          <w:rFonts w:hint="eastAsia" w:ascii="宋体" w:hAnsi="宋体"/>
          <w:bCs/>
          <w:color w:val="auto"/>
          <w:kern w:val="28"/>
          <w:u w:val="single"/>
        </w:rPr>
        <w:t xml:space="preserve">  （供应商名称）        </w:t>
      </w:r>
      <w:r>
        <w:rPr>
          <w:rFonts w:hint="eastAsia" w:ascii="宋体" w:hAnsi="宋体"/>
          <w:bCs/>
          <w:color w:val="auto"/>
          <w:kern w:val="28"/>
        </w:rPr>
        <w:t>参加磋商，并提交响应文件。</w:t>
      </w:r>
    </w:p>
    <w:p>
      <w:pPr>
        <w:pStyle w:val="7"/>
        <w:widowControl/>
        <w:spacing w:line="420" w:lineRule="exact"/>
        <w:jc w:val="left"/>
        <w:rPr>
          <w:rFonts w:ascii="宋体" w:hAnsi="宋体" w:cs="Arial"/>
          <w:color w:val="auto"/>
          <w:szCs w:val="24"/>
        </w:rPr>
      </w:pPr>
      <w:r>
        <w:rPr>
          <w:rFonts w:hint="eastAsia" w:ascii="宋体" w:hAnsi="宋体" w:cs="Arial"/>
          <w:color w:val="auto"/>
          <w:szCs w:val="24"/>
        </w:rPr>
        <w:t>据此函，本人宣布同意如下：</w:t>
      </w:r>
    </w:p>
    <w:p>
      <w:pPr>
        <w:widowControl/>
        <w:numPr>
          <w:ilvl w:val="0"/>
          <w:numId w:val="36"/>
        </w:numPr>
        <w:spacing w:line="420" w:lineRule="exact"/>
        <w:jc w:val="left"/>
        <w:rPr>
          <w:rFonts w:ascii="宋体" w:hAnsi="宋体" w:cs="Arial"/>
          <w:color w:val="auto"/>
        </w:rPr>
      </w:pPr>
      <w:r>
        <w:rPr>
          <w:rFonts w:hint="eastAsia" w:ascii="宋体" w:hAnsi="宋体" w:cs="Arial"/>
          <w:color w:val="auto"/>
        </w:rPr>
        <w:t>我方郑重承诺：磋商总报价包含用户需求说明的所有产品功能和服务内容，漏报的单价或每单价报价中漏报、少报的费用，视为此项费用已隐含在磋商总报价中，成交后不再向采购人收取任何费用。</w:t>
      </w:r>
    </w:p>
    <w:p>
      <w:pPr>
        <w:widowControl/>
        <w:numPr>
          <w:ilvl w:val="0"/>
          <w:numId w:val="36"/>
        </w:numPr>
        <w:spacing w:line="420" w:lineRule="exact"/>
        <w:jc w:val="left"/>
        <w:rPr>
          <w:rFonts w:ascii="宋体" w:hAnsi="宋体" w:cs="Arial"/>
          <w:color w:val="auto"/>
        </w:rPr>
      </w:pPr>
      <w:r>
        <w:rPr>
          <w:rFonts w:hint="eastAsia" w:ascii="宋体" w:hAnsi="宋体" w:cs="Arial"/>
          <w:color w:val="auto"/>
        </w:rPr>
        <w:t>供应商已详细审查全部磋商文件，包括修改文件（如有的话）以及全部参考资料和有关附件。我们完全理解并同意放弃对这方面有不明及误解的权利。</w:t>
      </w:r>
    </w:p>
    <w:p>
      <w:pPr>
        <w:widowControl/>
        <w:numPr>
          <w:ilvl w:val="0"/>
          <w:numId w:val="36"/>
        </w:numPr>
        <w:spacing w:line="420" w:lineRule="exact"/>
        <w:jc w:val="left"/>
        <w:rPr>
          <w:rFonts w:ascii="宋体" w:hAnsi="宋体" w:cs="Arial"/>
          <w:color w:val="auto"/>
        </w:rPr>
      </w:pPr>
      <w:r>
        <w:rPr>
          <w:rFonts w:hint="eastAsia" w:ascii="宋体" w:hAnsi="宋体" w:cs="Arial"/>
          <w:color w:val="auto"/>
        </w:rPr>
        <w:t>供应商的报价自响应文件提交截止之日起有效期为90天。</w:t>
      </w:r>
    </w:p>
    <w:p>
      <w:pPr>
        <w:widowControl/>
        <w:numPr>
          <w:ilvl w:val="0"/>
          <w:numId w:val="36"/>
        </w:numPr>
        <w:spacing w:line="420" w:lineRule="exact"/>
        <w:jc w:val="left"/>
        <w:rPr>
          <w:rFonts w:ascii="宋体" w:hAnsi="宋体" w:cs="Arial"/>
          <w:color w:val="auto"/>
        </w:rPr>
      </w:pPr>
      <w:r>
        <w:rPr>
          <w:rFonts w:hint="eastAsia" w:ascii="宋体" w:hAnsi="宋体" w:cs="Arial"/>
          <w:color w:val="auto"/>
        </w:rPr>
        <w:t>如果在规定的提交响应文件截止时间后，供应商在磋商有效期内撤回</w:t>
      </w:r>
      <w:r>
        <w:rPr>
          <w:rFonts w:hint="eastAsia" w:ascii="宋体" w:hAnsi="宋体"/>
          <w:color w:val="auto"/>
          <w:szCs w:val="21"/>
        </w:rPr>
        <w:t>响应文件，同意贵方不退还磋商保证金。</w:t>
      </w:r>
    </w:p>
    <w:p>
      <w:pPr>
        <w:widowControl/>
        <w:numPr>
          <w:ilvl w:val="0"/>
          <w:numId w:val="36"/>
        </w:numPr>
        <w:spacing w:line="420" w:lineRule="exact"/>
        <w:jc w:val="left"/>
        <w:rPr>
          <w:rFonts w:ascii="宋体" w:hAnsi="宋体" w:cs="Arial"/>
          <w:color w:val="auto"/>
        </w:rPr>
      </w:pPr>
      <w:r>
        <w:rPr>
          <w:rFonts w:hint="eastAsia" w:ascii="宋体" w:hAnsi="宋体" w:cs="Arial"/>
          <w:color w:val="auto"/>
        </w:rPr>
        <w:t>供应商同意提供按照贵方可能要求的与我方报价有关的一切数据或资料，理解贵方不一定要接受最低价的报价或收到的任何报价。</w:t>
      </w:r>
    </w:p>
    <w:p>
      <w:pPr>
        <w:widowControl/>
        <w:numPr>
          <w:ilvl w:val="0"/>
          <w:numId w:val="36"/>
        </w:numPr>
        <w:spacing w:line="420" w:lineRule="exact"/>
        <w:jc w:val="left"/>
        <w:rPr>
          <w:rFonts w:ascii="宋体" w:hAnsi="宋体" w:cs="Arial"/>
          <w:color w:val="auto"/>
        </w:rPr>
      </w:pPr>
      <w:r>
        <w:rPr>
          <w:rFonts w:hint="eastAsia" w:ascii="宋体" w:hAnsi="宋体" w:cs="Arial"/>
          <w:color w:val="auto"/>
        </w:rPr>
        <w:t>与本报价有关的一切正式往来通讯请寄：</w:t>
      </w:r>
    </w:p>
    <w:p>
      <w:pPr>
        <w:spacing w:beforeLines="50" w:afterLines="50" w:line="420" w:lineRule="exact"/>
        <w:ind w:firstLine="420"/>
        <w:rPr>
          <w:rFonts w:ascii="宋体" w:hAnsi="宋体" w:cs="Arial"/>
          <w:color w:val="auto"/>
        </w:rPr>
      </w:pPr>
      <w:r>
        <w:rPr>
          <w:rFonts w:hint="eastAsia" w:ascii="宋体" w:hAnsi="宋体" w:cs="Arial"/>
          <w:color w:val="auto"/>
        </w:rPr>
        <w:t>地址：</w:t>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 xml:space="preserve">                          邮编：</w:t>
      </w:r>
    </w:p>
    <w:p>
      <w:pPr>
        <w:spacing w:beforeLines="50" w:afterLines="50" w:line="420" w:lineRule="exact"/>
        <w:ind w:firstLine="420"/>
        <w:rPr>
          <w:rFonts w:ascii="宋体" w:hAnsi="宋体" w:cs="Arial"/>
          <w:color w:val="auto"/>
        </w:rPr>
      </w:pPr>
      <w:r>
        <w:rPr>
          <w:rFonts w:hint="eastAsia" w:ascii="宋体" w:hAnsi="宋体" w:cs="Arial"/>
          <w:color w:val="auto"/>
        </w:rPr>
        <w:t>电话：</w:t>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 xml:space="preserve">      传真：</w:t>
      </w:r>
    </w:p>
    <w:p>
      <w:pPr>
        <w:spacing w:beforeLines="50" w:afterLines="50" w:line="420" w:lineRule="exact"/>
        <w:ind w:firstLine="420"/>
        <w:rPr>
          <w:rFonts w:ascii="宋体" w:hAnsi="宋体" w:cs="Arial"/>
          <w:color w:val="auto"/>
        </w:rPr>
      </w:pPr>
      <w:r>
        <w:rPr>
          <w:rFonts w:hint="eastAsia" w:ascii="宋体" w:hAnsi="宋体" w:cs="Arial"/>
          <w:color w:val="auto"/>
        </w:rPr>
        <w:t>供应商名称：(并加盖公章)</w:t>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r>
        <w:rPr>
          <w:rFonts w:hint="eastAsia" w:ascii="宋体" w:hAnsi="宋体" w:cs="Arial"/>
          <w:color w:val="auto"/>
        </w:rPr>
        <w:tab/>
      </w:r>
    </w:p>
    <w:p>
      <w:pPr>
        <w:spacing w:beforeLines="50" w:afterLines="50" w:line="420" w:lineRule="exact"/>
        <w:ind w:firstLine="420"/>
        <w:rPr>
          <w:rFonts w:ascii="宋体" w:hAnsi="宋体" w:cs="Arial"/>
          <w:color w:val="auto"/>
        </w:rPr>
      </w:pPr>
      <w:r>
        <w:rPr>
          <w:rFonts w:hint="eastAsia" w:ascii="宋体" w:hAnsi="宋体" w:cs="Arial"/>
          <w:color w:val="auto"/>
        </w:rPr>
        <w:t xml:space="preserve">法定代表人签名或印鉴（或其委托的全权代表人）：                     </w:t>
      </w:r>
    </w:p>
    <w:p>
      <w:pPr>
        <w:spacing w:beforeLines="50" w:afterLines="50" w:line="420" w:lineRule="exact"/>
        <w:ind w:firstLine="420"/>
        <w:rPr>
          <w:rFonts w:ascii="宋体" w:hAnsi="宋体" w:cs="Arial"/>
          <w:color w:val="auto"/>
        </w:rPr>
      </w:pPr>
      <w:r>
        <w:rPr>
          <w:rFonts w:hint="eastAsia" w:ascii="宋体" w:hAnsi="宋体" w:cs="Arial"/>
          <w:color w:val="auto"/>
        </w:rPr>
        <w:t>日期：2020年  月   日</w:t>
      </w:r>
      <w:bookmarkStart w:id="335" w:name="_Toc484827213"/>
      <w:bookmarkStart w:id="336" w:name="_Toc494875416"/>
      <w:bookmarkStart w:id="337" w:name="_Toc12118376"/>
      <w:bookmarkStart w:id="338" w:name="_Toc506611815"/>
      <w:bookmarkStart w:id="339" w:name="_Toc506611607"/>
      <w:bookmarkStart w:id="340" w:name="_Toc484848558"/>
      <w:bookmarkStart w:id="341" w:name="_Toc506628558"/>
      <w:bookmarkStart w:id="342" w:name="_Toc490832206"/>
      <w:bookmarkStart w:id="343" w:name="_Toc517502638"/>
    </w:p>
    <w:p>
      <w:pPr>
        <w:pStyle w:val="4"/>
        <w:keepNext w:val="0"/>
        <w:keepLines w:val="0"/>
        <w:numPr>
          <w:ilvl w:val="1"/>
          <w:numId w:val="35"/>
        </w:numPr>
        <w:tabs>
          <w:tab w:val="left" w:pos="567"/>
        </w:tabs>
        <w:jc w:val="center"/>
        <w:rPr>
          <w:rFonts w:hAnsi="宋体" w:cs="Arial"/>
          <w:color w:val="auto"/>
          <w:sz w:val="28"/>
        </w:rPr>
      </w:pPr>
      <w:r>
        <w:rPr>
          <w:rFonts w:hint="eastAsia" w:hAnsi="宋体"/>
          <w:color w:val="auto"/>
        </w:rPr>
        <w:br w:type="page"/>
      </w:r>
      <w:bookmarkStart w:id="344" w:name="_Toc18431"/>
      <w:bookmarkStart w:id="345" w:name="_Toc31680"/>
      <w:bookmarkStart w:id="346" w:name="_Toc18934995"/>
      <w:bookmarkStart w:id="347" w:name="_Toc1901"/>
      <w:bookmarkStart w:id="348" w:name="_Toc1809"/>
      <w:bookmarkStart w:id="349" w:name="_Toc18935137"/>
      <w:bookmarkStart w:id="350" w:name="_Toc6702"/>
      <w:bookmarkStart w:id="351" w:name="_Toc469663696"/>
      <w:bookmarkStart w:id="352" w:name="_Toc4318"/>
      <w:bookmarkStart w:id="353" w:name="_Toc108597125"/>
      <w:bookmarkStart w:id="354" w:name="_Toc307826056"/>
      <w:bookmarkStart w:id="355" w:name="_Toc307826685"/>
      <w:bookmarkStart w:id="356" w:name="_Toc52423753"/>
      <w:r>
        <w:rPr>
          <w:rFonts w:hint="eastAsia" w:hAnsi="宋体"/>
          <w:color w:val="auto"/>
          <w:sz w:val="21"/>
          <w:szCs w:val="21"/>
        </w:rPr>
        <w:t>法定代表人证明书/法定代表人授权书格式</w:t>
      </w:r>
      <w:bookmarkEnd w:id="344"/>
      <w:bookmarkEnd w:id="345"/>
      <w:bookmarkEnd w:id="346"/>
      <w:bookmarkEnd w:id="347"/>
      <w:bookmarkEnd w:id="348"/>
      <w:bookmarkEnd w:id="349"/>
      <w:bookmarkEnd w:id="350"/>
      <w:bookmarkEnd w:id="351"/>
      <w:bookmarkEnd w:id="352"/>
    </w:p>
    <w:p>
      <w:pPr>
        <w:spacing w:line="360" w:lineRule="auto"/>
        <w:ind w:firstLine="422" w:firstLineChars="200"/>
        <w:rPr>
          <w:rFonts w:ascii="宋体" w:hAnsi="宋体"/>
          <w:b/>
          <w:bCs/>
          <w:color w:val="auto"/>
          <w:szCs w:val="21"/>
        </w:rPr>
      </w:pPr>
      <w:r>
        <w:rPr>
          <w:rFonts w:hint="eastAsia" w:ascii="宋体" w:hAnsi="宋体"/>
          <w:b/>
          <w:bCs/>
          <w:color w:val="auto"/>
          <w:szCs w:val="21"/>
        </w:rPr>
        <w:t>法定代表人证明书和法定代表人授权书按以下格式填写，如由法定代表人参加磋商并签署响应文件，需提供法定代表人证明书，否则需提供法定代表人证明书和法定代表人授权书。</w:t>
      </w:r>
    </w:p>
    <w:p>
      <w:pPr>
        <w:pStyle w:val="17"/>
        <w:rPr>
          <w:b/>
          <w:bCs/>
          <w:color w:val="auto"/>
          <w:sz w:val="21"/>
        </w:rPr>
      </w:pPr>
    </w:p>
    <w:p>
      <w:pPr>
        <w:pStyle w:val="7"/>
        <w:spacing w:line="360" w:lineRule="auto"/>
        <w:jc w:val="center"/>
        <w:rPr>
          <w:rFonts w:ascii="宋体" w:hAnsi="宋体"/>
          <w:b/>
          <w:color w:val="auto"/>
          <w:szCs w:val="21"/>
        </w:rPr>
      </w:pPr>
      <w:r>
        <w:rPr>
          <w:rFonts w:hint="eastAsia" w:ascii="宋体" w:hAnsi="宋体"/>
          <w:b/>
          <w:color w:val="auto"/>
          <w:szCs w:val="21"/>
        </w:rPr>
        <w:t>法定代表人证明书</w:t>
      </w:r>
    </w:p>
    <w:p>
      <w:pPr>
        <w:pStyle w:val="17"/>
        <w:rPr>
          <w:b/>
          <w:bCs/>
          <w:color w:val="auto"/>
          <w:sz w:val="21"/>
        </w:rPr>
      </w:pPr>
    </w:p>
    <w:p>
      <w:pPr>
        <w:spacing w:line="360" w:lineRule="auto"/>
        <w:ind w:left="651" w:leftChars="275" w:hanging="73" w:hangingChars="35"/>
        <w:rPr>
          <w:rFonts w:ascii="宋体" w:hAnsi="宋体" w:cs="Arial"/>
          <w:color w:val="auto"/>
          <w:szCs w:val="21"/>
        </w:rPr>
      </w:pPr>
      <w:r>
        <w:rPr>
          <w:rFonts w:hint="eastAsia" w:ascii="宋体" w:hAnsi="宋体" w:cs="Arial"/>
          <w:color w:val="auto"/>
          <w:szCs w:val="21"/>
        </w:rPr>
        <w:t>______________同志，现任我单位职务，为法定代表人，特此证明。</w:t>
      </w:r>
    </w:p>
    <w:p>
      <w:pPr>
        <w:spacing w:line="360" w:lineRule="auto"/>
        <w:ind w:left="748" w:hanging="567"/>
        <w:rPr>
          <w:rFonts w:ascii="宋体" w:hAnsi="宋体" w:cs="Arial"/>
          <w:color w:val="auto"/>
          <w:szCs w:val="21"/>
        </w:rPr>
      </w:pPr>
      <w:r>
        <w:rPr>
          <w:rFonts w:hint="eastAsia" w:ascii="宋体" w:hAnsi="宋体" w:cs="Arial"/>
          <w:color w:val="auto"/>
          <w:szCs w:val="21"/>
        </w:rPr>
        <w:t>有效日期：年月日至年月日  签发日期：年月日</w:t>
      </w:r>
    </w:p>
    <w:p>
      <w:pPr>
        <w:spacing w:line="360" w:lineRule="auto"/>
        <w:ind w:left="748" w:hanging="567"/>
        <w:rPr>
          <w:rFonts w:ascii="宋体" w:hAnsi="宋体" w:cs="Arial"/>
          <w:color w:val="auto"/>
          <w:szCs w:val="21"/>
        </w:rPr>
      </w:pPr>
      <w:r>
        <w:rPr>
          <w:rFonts w:hint="eastAsia" w:ascii="宋体" w:hAnsi="宋体" w:cs="Arial"/>
          <w:color w:val="auto"/>
          <w:szCs w:val="21"/>
        </w:rPr>
        <w:t>附：</w:t>
      </w:r>
    </w:p>
    <w:p>
      <w:pPr>
        <w:spacing w:line="360" w:lineRule="auto"/>
        <w:ind w:left="748" w:hanging="567"/>
        <w:rPr>
          <w:rFonts w:ascii="宋体" w:hAnsi="宋体" w:cs="Arial"/>
          <w:color w:val="auto"/>
          <w:szCs w:val="21"/>
        </w:rPr>
      </w:pPr>
      <w:r>
        <w:rPr>
          <w:rFonts w:hint="eastAsia" w:ascii="宋体" w:hAnsi="宋体" w:cs="Arial"/>
          <w:color w:val="auto"/>
          <w:szCs w:val="21"/>
        </w:rPr>
        <w:t>营业执照（注册号）：</w:t>
      </w:r>
    </w:p>
    <w:p>
      <w:pPr>
        <w:spacing w:line="360" w:lineRule="auto"/>
        <w:ind w:left="748" w:hanging="567"/>
        <w:rPr>
          <w:rFonts w:ascii="宋体" w:hAnsi="宋体" w:cs="Arial"/>
          <w:color w:val="auto"/>
          <w:szCs w:val="21"/>
        </w:rPr>
      </w:pPr>
      <w:r>
        <w:rPr>
          <w:rFonts w:hint="eastAsia" w:ascii="宋体" w:hAnsi="宋体" w:cs="Arial"/>
          <w:color w:val="auto"/>
          <w:szCs w:val="21"/>
        </w:rPr>
        <w:t>经济性质：</w:t>
      </w:r>
    </w:p>
    <w:p>
      <w:pPr>
        <w:spacing w:line="360" w:lineRule="auto"/>
        <w:ind w:left="748" w:hanging="567"/>
        <w:jc w:val="left"/>
        <w:rPr>
          <w:rFonts w:ascii="宋体" w:hAnsi="宋体" w:cs="Arial"/>
          <w:color w:val="auto"/>
          <w:szCs w:val="21"/>
        </w:rPr>
      </w:pPr>
      <w:r>
        <w:rPr>
          <w:rFonts w:hint="eastAsia" w:ascii="宋体" w:hAnsi="宋体" w:cs="Arial"/>
          <w:color w:val="auto"/>
          <w:szCs w:val="21"/>
        </w:rPr>
        <w:t>主营（产）：</w:t>
      </w:r>
    </w:p>
    <w:p>
      <w:pPr>
        <w:spacing w:line="360" w:lineRule="auto"/>
        <w:ind w:left="748" w:hanging="567"/>
        <w:rPr>
          <w:rFonts w:ascii="宋体" w:hAnsi="宋体" w:cs="Arial"/>
          <w:color w:val="auto"/>
          <w:szCs w:val="21"/>
        </w:rPr>
      </w:pPr>
      <w:r>
        <w:rPr>
          <w:rFonts w:hint="eastAsia" w:ascii="宋体" w:hAnsi="宋体" w:cs="Arial"/>
          <w:color w:val="auto"/>
          <w:szCs w:val="21"/>
        </w:rPr>
        <w:t>兼营（产）：</w:t>
      </w:r>
    </w:p>
    <w:p>
      <w:pPr>
        <w:spacing w:line="360" w:lineRule="auto"/>
        <w:ind w:left="748" w:hanging="567"/>
        <w:rPr>
          <w:rFonts w:ascii="宋体" w:hAnsi="宋体" w:cs="Arial"/>
          <w:color w:val="auto"/>
          <w:szCs w:val="21"/>
        </w:rPr>
      </w:pPr>
    </w:p>
    <w:p>
      <w:pPr>
        <w:spacing w:line="360" w:lineRule="auto"/>
        <w:ind w:left="748" w:hanging="567"/>
        <w:rPr>
          <w:rFonts w:ascii="宋体" w:hAnsi="宋体" w:cs="Arial"/>
          <w:color w:val="auto"/>
          <w:szCs w:val="21"/>
        </w:rPr>
      </w:pPr>
    </w:p>
    <w:p>
      <w:pPr>
        <w:spacing w:line="360" w:lineRule="auto"/>
        <w:ind w:left="748" w:hanging="567"/>
        <w:rPr>
          <w:rFonts w:ascii="宋体" w:hAnsi="宋体" w:cs="Arial"/>
          <w:color w:val="auto"/>
          <w:szCs w:val="21"/>
        </w:rPr>
      </w:pPr>
      <w:r>
        <w:rPr>
          <w:rFonts w:hint="eastAsia" w:ascii="宋体" w:hAnsi="宋体" w:cs="Arial"/>
          <w:color w:val="auto"/>
          <w:szCs w:val="21"/>
        </w:rPr>
        <w:t>供应商名称：(并加盖公章)</w:t>
      </w:r>
      <w:r>
        <w:rPr>
          <w:rFonts w:hint="eastAsia" w:ascii="宋体" w:hAnsi="宋体" w:cs="Arial"/>
          <w:color w:val="auto"/>
          <w:szCs w:val="21"/>
        </w:rPr>
        <w:tab/>
      </w:r>
      <w:r>
        <w:rPr>
          <w:rFonts w:hint="eastAsia" w:ascii="宋体" w:hAnsi="宋体" w:cs="Arial"/>
          <w:color w:val="auto"/>
          <w:szCs w:val="21"/>
        </w:rPr>
        <w:tab/>
      </w:r>
      <w:r>
        <w:rPr>
          <w:rFonts w:hint="eastAsia" w:ascii="宋体" w:hAnsi="宋体" w:cs="Arial"/>
          <w:color w:val="auto"/>
          <w:szCs w:val="21"/>
        </w:rPr>
        <w:tab/>
      </w:r>
      <w:r>
        <w:rPr>
          <w:rFonts w:hint="eastAsia" w:ascii="宋体" w:hAnsi="宋体" w:cs="Arial"/>
          <w:color w:val="auto"/>
          <w:szCs w:val="21"/>
        </w:rPr>
        <w:tab/>
      </w:r>
      <w:r>
        <w:rPr>
          <w:rFonts w:hint="eastAsia" w:ascii="宋体" w:hAnsi="宋体" w:cs="Arial"/>
          <w:color w:val="auto"/>
          <w:szCs w:val="21"/>
        </w:rPr>
        <w:tab/>
      </w:r>
    </w:p>
    <w:p>
      <w:pPr>
        <w:spacing w:line="360" w:lineRule="auto"/>
        <w:ind w:left="748" w:hanging="567"/>
        <w:rPr>
          <w:rFonts w:ascii="宋体" w:hAnsi="宋体" w:cs="Arial"/>
          <w:color w:val="auto"/>
          <w:szCs w:val="21"/>
        </w:rPr>
      </w:pPr>
      <w:r>
        <w:rPr>
          <w:rFonts w:hint="eastAsia" w:ascii="宋体" w:hAnsi="宋体" w:cs="Arial"/>
          <w:color w:val="auto"/>
          <w:szCs w:val="21"/>
        </w:rPr>
        <w:t>地址：</w:t>
      </w:r>
    </w:p>
    <w:p>
      <w:pPr>
        <w:spacing w:line="360" w:lineRule="auto"/>
        <w:ind w:left="748" w:hanging="567"/>
        <w:rPr>
          <w:rFonts w:ascii="宋体" w:hAnsi="宋体" w:cs="Arial"/>
          <w:color w:val="auto"/>
          <w:szCs w:val="21"/>
        </w:rPr>
      </w:pPr>
      <w:r>
        <w:rPr>
          <w:rFonts w:hint="eastAsia" w:ascii="宋体" w:hAnsi="宋体" w:cs="Arial"/>
          <w:color w:val="auto"/>
          <w:szCs w:val="21"/>
        </w:rPr>
        <w:t>日期：</w:t>
      </w:r>
    </w:p>
    <w:p>
      <w:pPr>
        <w:pStyle w:val="17"/>
        <w:rPr>
          <w:b/>
          <w:bCs/>
          <w:color w:val="auto"/>
          <w:sz w:val="21"/>
        </w:rPr>
      </w:pPr>
      <w:r>
        <w:rPr>
          <w:b/>
          <w:bCs/>
          <w:color w:val="auto"/>
          <w:sz w:val="21"/>
        </w:rPr>
        <w:pict>
          <v:rect id="矩形 13" o:spid="_x0000_s1026" o:spt="1" style="position:absolute;left:0pt;margin-left:217.85pt;margin-top:11.4pt;height:125.7pt;width:196.2pt;z-index:251663360;mso-width-relative:page;mso-height-relative:page;" coordsize="21600,21600">
            <v:path/>
            <v:fill focussize="0,0"/>
            <v:stroke/>
            <v:imagedata o:title=""/>
            <o:lock v:ext="edit"/>
            <v:textbox>
              <w:txbxContent>
                <w:p>
                  <w:pPr>
                    <w:jc w:val="center"/>
                  </w:pPr>
                </w:p>
                <w:p>
                  <w:pPr>
                    <w:jc w:val="center"/>
                    <w:rPr>
                      <w:szCs w:val="21"/>
                    </w:rPr>
                  </w:pPr>
                  <w:r>
                    <w:rPr>
                      <w:rFonts w:hint="eastAsia"/>
                      <w:szCs w:val="21"/>
                    </w:rPr>
                    <w:t>法定代表人</w:t>
                  </w:r>
                </w:p>
                <w:p>
                  <w:pPr>
                    <w:jc w:val="center"/>
                    <w:rPr>
                      <w:szCs w:val="21"/>
                    </w:rPr>
                  </w:pPr>
                  <w:r>
                    <w:rPr>
                      <w:rFonts w:hint="eastAsia"/>
                      <w:szCs w:val="21"/>
                    </w:rPr>
                    <w:t>居民身份证复印件（反面）粘贴处</w:t>
                  </w:r>
                </w:p>
                <w:p>
                  <w:pPr>
                    <w:jc w:val="center"/>
                    <w:rPr>
                      <w:szCs w:val="21"/>
                    </w:rPr>
                  </w:pPr>
                  <w:r>
                    <w:rPr>
                      <w:rFonts w:hint="eastAsia"/>
                      <w:szCs w:val="21"/>
                    </w:rPr>
                    <w:t>（按原件大小）</w:t>
                  </w:r>
                </w:p>
                <w:p>
                  <w:pPr>
                    <w:jc w:val="center"/>
                    <w:rPr>
                      <w:szCs w:val="21"/>
                    </w:rPr>
                  </w:pPr>
                </w:p>
              </w:txbxContent>
            </v:textbox>
          </v:rect>
        </w:pict>
      </w:r>
      <w:r>
        <w:rPr>
          <w:b/>
          <w:bCs/>
          <w:color w:val="auto"/>
          <w:sz w:val="21"/>
        </w:rPr>
        <w:pict>
          <v:rect id="矩形 12" o:spid="_x0000_s1027" o:spt="1" style="position:absolute;left:0pt;margin-left:6.95pt;margin-top:11.4pt;height:125.7pt;width:195.25pt;z-index:251662336;mso-width-relative:page;mso-height-relative:page;" coordsize="21600,21600">
            <v:path/>
            <v:fill focussize="0,0"/>
            <v:stroke/>
            <v:imagedata o:title=""/>
            <o:lock v:ext="edit"/>
            <v:textbox>
              <w:txbxContent>
                <w:p>
                  <w:pPr>
                    <w:jc w:val="center"/>
                  </w:pPr>
                </w:p>
                <w:p>
                  <w:pPr>
                    <w:jc w:val="center"/>
                    <w:rPr>
                      <w:szCs w:val="21"/>
                    </w:rPr>
                  </w:pPr>
                  <w:r>
                    <w:rPr>
                      <w:rFonts w:hint="eastAsia"/>
                      <w:szCs w:val="21"/>
                    </w:rPr>
                    <w:t>法定代表人</w:t>
                  </w:r>
                </w:p>
                <w:p>
                  <w:pPr>
                    <w:jc w:val="center"/>
                    <w:rPr>
                      <w:szCs w:val="21"/>
                    </w:rPr>
                  </w:pPr>
                  <w:r>
                    <w:rPr>
                      <w:rFonts w:hint="eastAsia"/>
                      <w:szCs w:val="21"/>
                    </w:rPr>
                    <w:t>居民身份证复印件（正面）粘贴处</w:t>
                  </w:r>
                </w:p>
                <w:p>
                  <w:pPr>
                    <w:jc w:val="center"/>
                    <w:rPr>
                      <w:szCs w:val="21"/>
                    </w:rPr>
                  </w:pPr>
                  <w:r>
                    <w:rPr>
                      <w:rFonts w:hint="eastAsia"/>
                      <w:szCs w:val="21"/>
                    </w:rPr>
                    <w:t>（按原件大小）</w:t>
                  </w:r>
                </w:p>
              </w:txbxContent>
            </v:textbox>
          </v:rect>
        </w:pict>
      </w:r>
    </w:p>
    <w:p>
      <w:pPr>
        <w:pStyle w:val="17"/>
        <w:rPr>
          <w:b/>
          <w:bCs/>
          <w:color w:val="auto"/>
          <w:sz w:val="21"/>
        </w:rPr>
      </w:pPr>
    </w:p>
    <w:p>
      <w:pPr>
        <w:pStyle w:val="7"/>
        <w:spacing w:line="360" w:lineRule="auto"/>
        <w:jc w:val="center"/>
        <w:rPr>
          <w:b/>
          <w:bCs/>
          <w:color w:val="auto"/>
        </w:rPr>
      </w:pPr>
      <w:r>
        <w:rPr>
          <w:b/>
          <w:bCs/>
          <w:color w:val="auto"/>
        </w:rPr>
        <w:br w:type="page"/>
      </w:r>
    </w:p>
    <w:p>
      <w:pPr>
        <w:pStyle w:val="7"/>
        <w:spacing w:line="360" w:lineRule="auto"/>
        <w:jc w:val="center"/>
        <w:rPr>
          <w:rFonts w:ascii="宋体" w:hAnsi="宋体"/>
          <w:b/>
          <w:color w:val="auto"/>
          <w:szCs w:val="21"/>
        </w:rPr>
      </w:pPr>
      <w:r>
        <w:rPr>
          <w:rFonts w:hint="eastAsia" w:ascii="宋体" w:hAnsi="宋体"/>
          <w:b/>
          <w:color w:val="auto"/>
          <w:szCs w:val="21"/>
        </w:rPr>
        <w:t>4-3  法定代表人授权书</w:t>
      </w:r>
    </w:p>
    <w:p>
      <w:pPr>
        <w:pStyle w:val="17"/>
        <w:rPr>
          <w:b/>
          <w:bCs/>
          <w:color w:val="auto"/>
          <w:sz w:val="21"/>
        </w:rPr>
      </w:pPr>
    </w:p>
    <w:p>
      <w:pPr>
        <w:pStyle w:val="17"/>
        <w:rPr>
          <w:color w:val="auto"/>
          <w:sz w:val="21"/>
        </w:rPr>
      </w:pPr>
      <w:r>
        <w:rPr>
          <w:rFonts w:hint="eastAsia"/>
          <w:b/>
          <w:bCs/>
          <w:color w:val="auto"/>
          <w:sz w:val="21"/>
        </w:rPr>
        <w:t>致:广东熙泽企业管理有限公司</w:t>
      </w:r>
    </w:p>
    <w:p>
      <w:pPr>
        <w:pStyle w:val="17"/>
        <w:ind w:firstLine="420"/>
        <w:rPr>
          <w:color w:val="auto"/>
          <w:sz w:val="21"/>
        </w:rPr>
      </w:pPr>
      <w:r>
        <w:rPr>
          <w:rFonts w:hint="eastAsia"/>
          <w:color w:val="auto"/>
          <w:sz w:val="21"/>
        </w:rPr>
        <w:t>本授权书声明：注册于（国家或地区）的（供应商名称）的在下面签字的 （法定代表人姓名、职务）代表本单位授权在下面签字的（被授权人的姓名、职务）为本单位的合法代表人，就</w:t>
      </w:r>
      <w:r>
        <w:rPr>
          <w:rFonts w:hint="eastAsia" w:hAnsi="宋体"/>
          <w:bCs/>
          <w:color w:val="auto"/>
          <w:kern w:val="28"/>
          <w:sz w:val="21"/>
        </w:rPr>
        <w:t>（项目编号：）</w:t>
      </w:r>
      <w:r>
        <w:rPr>
          <w:rFonts w:hint="eastAsia"/>
          <w:color w:val="auto"/>
          <w:sz w:val="21"/>
        </w:rPr>
        <w:t>的磋商和合同执行，以我方的名义处理一切与之有关的事宜。</w:t>
      </w:r>
    </w:p>
    <w:p>
      <w:pPr>
        <w:spacing w:line="360" w:lineRule="auto"/>
        <w:ind w:firstLine="570"/>
        <w:rPr>
          <w:rFonts w:ascii="宋体"/>
          <w:color w:val="auto"/>
        </w:rPr>
      </w:pPr>
      <w:r>
        <w:rPr>
          <w:rFonts w:hint="eastAsia" w:ascii="宋体"/>
          <w:color w:val="auto"/>
        </w:rPr>
        <w:t>本授权书于 年月日签字生效，特此声明。</w:t>
      </w:r>
    </w:p>
    <w:p>
      <w:pPr>
        <w:spacing w:line="360" w:lineRule="auto"/>
        <w:rPr>
          <w:rFonts w:ascii="宋体"/>
          <w:color w:val="auto"/>
        </w:rPr>
      </w:pPr>
    </w:p>
    <w:p>
      <w:pPr>
        <w:spacing w:line="360" w:lineRule="auto"/>
        <w:rPr>
          <w:rFonts w:ascii="宋体"/>
          <w:color w:val="auto"/>
        </w:rPr>
      </w:pPr>
    </w:p>
    <w:p>
      <w:pPr>
        <w:widowControl/>
        <w:autoSpaceDE w:val="0"/>
        <w:autoSpaceDN w:val="0"/>
        <w:spacing w:line="360" w:lineRule="auto"/>
        <w:ind w:right="893" w:firstLine="424" w:firstLineChars="202"/>
        <w:textAlignment w:val="bottom"/>
        <w:rPr>
          <w:rFonts w:ascii="Arial" w:hAnsi="Arial" w:cs="Arial"/>
          <w:color w:val="auto"/>
        </w:rPr>
      </w:pPr>
      <w:r>
        <w:rPr>
          <w:rFonts w:hint="eastAsia" w:ascii="Arial" w:hAnsi="Arial" w:cs="Arial"/>
          <w:color w:val="auto"/>
        </w:rPr>
        <w:t>供应商名称(并加盖公章)：</w:t>
      </w:r>
    </w:p>
    <w:p>
      <w:pPr>
        <w:tabs>
          <w:tab w:val="left" w:pos="3885"/>
        </w:tabs>
        <w:spacing w:line="360" w:lineRule="auto"/>
        <w:ind w:firstLine="424" w:firstLineChars="202"/>
        <w:rPr>
          <w:rFonts w:ascii="Arial" w:hAnsi="Arial" w:cs="Arial"/>
          <w:color w:val="auto"/>
          <w:szCs w:val="21"/>
        </w:rPr>
      </w:pPr>
      <w:r>
        <w:rPr>
          <w:rFonts w:hint="eastAsia" w:ascii="Arial" w:hAnsi="Arial" w:cs="Arial"/>
          <w:color w:val="auto"/>
          <w:szCs w:val="21"/>
        </w:rPr>
        <w:t>地        址：</w:t>
      </w:r>
    </w:p>
    <w:p>
      <w:pPr>
        <w:tabs>
          <w:tab w:val="left" w:pos="3780"/>
        </w:tabs>
        <w:spacing w:line="360" w:lineRule="auto"/>
        <w:ind w:firstLine="424" w:firstLineChars="202"/>
        <w:rPr>
          <w:rFonts w:ascii="Arial" w:hAnsi="Arial" w:cs="Arial"/>
          <w:color w:val="auto"/>
          <w:szCs w:val="21"/>
        </w:rPr>
      </w:pPr>
      <w:r>
        <w:rPr>
          <w:rFonts w:hint="eastAsia" w:ascii="Arial" w:hAnsi="Arial" w:cs="Arial"/>
          <w:color w:val="auto"/>
          <w:szCs w:val="21"/>
        </w:rPr>
        <w:t xml:space="preserve">法定代表人（签名或印鉴）： </w:t>
      </w:r>
    </w:p>
    <w:p>
      <w:pPr>
        <w:tabs>
          <w:tab w:val="left" w:pos="3780"/>
        </w:tabs>
        <w:spacing w:line="360" w:lineRule="auto"/>
        <w:ind w:firstLine="424" w:firstLineChars="202"/>
        <w:rPr>
          <w:rFonts w:ascii="Arial" w:hAnsi="Arial" w:cs="Arial"/>
          <w:color w:val="auto"/>
          <w:szCs w:val="21"/>
        </w:rPr>
      </w:pPr>
      <w:r>
        <w:rPr>
          <w:rFonts w:hint="eastAsia" w:ascii="Arial" w:hAnsi="Arial" w:cs="Arial"/>
          <w:color w:val="auto"/>
          <w:szCs w:val="21"/>
        </w:rPr>
        <w:t>职        务：</w:t>
      </w:r>
    </w:p>
    <w:p>
      <w:pPr>
        <w:spacing w:line="360" w:lineRule="auto"/>
        <w:ind w:firstLine="424" w:firstLineChars="202"/>
        <w:rPr>
          <w:rFonts w:ascii="Arial" w:hAnsi="Arial" w:cs="Arial"/>
          <w:color w:val="auto"/>
          <w:szCs w:val="21"/>
        </w:rPr>
      </w:pPr>
      <w:r>
        <w:rPr>
          <w:rFonts w:hint="eastAsia" w:ascii="Arial" w:hAnsi="Arial" w:cs="Arial"/>
          <w:color w:val="auto"/>
          <w:szCs w:val="21"/>
        </w:rPr>
        <w:t>被授权人（签名或印鉴）：</w:t>
      </w:r>
    </w:p>
    <w:p>
      <w:pPr>
        <w:tabs>
          <w:tab w:val="left" w:pos="2041"/>
          <w:tab w:val="left" w:pos="3600"/>
          <w:tab w:val="left" w:pos="3780"/>
        </w:tabs>
        <w:spacing w:line="360" w:lineRule="auto"/>
        <w:ind w:firstLine="424" w:firstLineChars="202"/>
        <w:rPr>
          <w:rFonts w:ascii="Arial" w:hAnsi="Arial" w:cs="Arial"/>
          <w:color w:val="auto"/>
          <w:szCs w:val="21"/>
        </w:rPr>
      </w:pPr>
      <w:r>
        <w:rPr>
          <w:rFonts w:hint="eastAsia" w:ascii="Arial" w:hAnsi="Arial" w:cs="Arial"/>
          <w:color w:val="auto"/>
          <w:szCs w:val="21"/>
        </w:rPr>
        <w:t>职        务：</w:t>
      </w:r>
    </w:p>
    <w:p>
      <w:pPr>
        <w:tabs>
          <w:tab w:val="left" w:pos="2041"/>
          <w:tab w:val="left" w:pos="3600"/>
          <w:tab w:val="left" w:pos="3780"/>
        </w:tabs>
        <w:spacing w:line="360" w:lineRule="auto"/>
        <w:ind w:firstLine="424" w:firstLineChars="202"/>
        <w:rPr>
          <w:rFonts w:ascii="Arial" w:hAnsi="Arial" w:cs="Arial"/>
          <w:color w:val="auto"/>
          <w:szCs w:val="21"/>
        </w:rPr>
      </w:pPr>
      <w:r>
        <w:rPr>
          <w:rFonts w:ascii="Arial" w:hAnsi="Arial" w:cs="Arial"/>
          <w:color w:val="auto"/>
          <w:szCs w:val="21"/>
        </w:rPr>
        <w:pict>
          <v:rect id="矩形 15" o:spid="_x0000_s1028" o:spt="1" style="position:absolute;left:0pt;margin-left:229.85pt;margin-top:31.35pt;height:125.7pt;width:196.2pt;z-index:251665408;mso-width-relative:page;mso-height-relative:page;" coordsize="21600,21600">
            <v:path/>
            <v:fill focussize="0,0"/>
            <v:stroke/>
            <v:imagedata o:title=""/>
            <o:lock v:ext="edit"/>
            <v:textbox>
              <w:txbxContent>
                <w:p>
                  <w:pPr>
                    <w:jc w:val="center"/>
                  </w:pPr>
                </w:p>
                <w:p>
                  <w:pPr>
                    <w:jc w:val="center"/>
                    <w:rPr>
                      <w:szCs w:val="21"/>
                    </w:rPr>
                  </w:pPr>
                  <w:r>
                    <w:rPr>
                      <w:rFonts w:hint="eastAsia"/>
                      <w:szCs w:val="21"/>
                    </w:rPr>
                    <w:t>被授权人（授权代表）</w:t>
                  </w:r>
                </w:p>
                <w:p>
                  <w:pPr>
                    <w:jc w:val="center"/>
                    <w:rPr>
                      <w:szCs w:val="21"/>
                    </w:rPr>
                  </w:pPr>
                  <w:r>
                    <w:rPr>
                      <w:rFonts w:hint="eastAsia"/>
                      <w:szCs w:val="21"/>
                    </w:rPr>
                    <w:t>居民身份证复印件（反面）粘贴处</w:t>
                  </w:r>
                </w:p>
                <w:p>
                  <w:pPr>
                    <w:jc w:val="center"/>
                    <w:rPr>
                      <w:szCs w:val="21"/>
                    </w:rPr>
                  </w:pPr>
                  <w:r>
                    <w:rPr>
                      <w:rFonts w:hint="eastAsia"/>
                      <w:szCs w:val="21"/>
                    </w:rPr>
                    <w:t>（按原件大小）</w:t>
                  </w:r>
                </w:p>
                <w:p>
                  <w:pPr>
                    <w:jc w:val="center"/>
                    <w:rPr>
                      <w:szCs w:val="21"/>
                    </w:rPr>
                  </w:pPr>
                </w:p>
              </w:txbxContent>
            </v:textbox>
          </v:rect>
        </w:pict>
      </w:r>
      <w:r>
        <w:rPr>
          <w:rFonts w:ascii="Arial" w:hAnsi="Arial" w:cs="Arial"/>
          <w:color w:val="auto"/>
          <w:szCs w:val="21"/>
        </w:rPr>
        <w:pict>
          <v:rect id="矩形 14" o:spid="_x0000_s1029" o:spt="1" style="position:absolute;left:0pt;margin-left:18.95pt;margin-top:31.35pt;height:125.7pt;width:195.25pt;z-index:251664384;mso-width-relative:page;mso-height-relative:page;" coordsize="21600,21600">
            <v:path/>
            <v:fill focussize="0,0"/>
            <v:stroke/>
            <v:imagedata o:title=""/>
            <o:lock v:ext="edit"/>
            <v:textbox>
              <w:txbxContent>
                <w:p>
                  <w:pPr>
                    <w:jc w:val="center"/>
                  </w:pPr>
                </w:p>
                <w:p>
                  <w:pPr>
                    <w:jc w:val="center"/>
                    <w:rPr>
                      <w:szCs w:val="21"/>
                    </w:rPr>
                  </w:pPr>
                  <w:r>
                    <w:rPr>
                      <w:rFonts w:hint="eastAsia"/>
                      <w:szCs w:val="21"/>
                    </w:rPr>
                    <w:t>被授权人（授权代表）</w:t>
                  </w:r>
                </w:p>
                <w:p>
                  <w:pPr>
                    <w:jc w:val="center"/>
                    <w:rPr>
                      <w:szCs w:val="21"/>
                    </w:rPr>
                  </w:pPr>
                  <w:r>
                    <w:rPr>
                      <w:rFonts w:hint="eastAsia"/>
                      <w:szCs w:val="21"/>
                    </w:rPr>
                    <w:t>居民身份证复印件（正面）粘贴处</w:t>
                  </w:r>
                </w:p>
                <w:p>
                  <w:pPr>
                    <w:jc w:val="center"/>
                  </w:pPr>
                  <w:r>
                    <w:rPr>
                      <w:rFonts w:hint="eastAsia"/>
                      <w:szCs w:val="21"/>
                    </w:rPr>
                    <w:t>（按原件大小）</w:t>
                  </w:r>
                </w:p>
                <w:p>
                  <w:pPr>
                    <w:jc w:val="center"/>
                    <w:rPr>
                      <w:szCs w:val="21"/>
                    </w:rPr>
                  </w:pPr>
                </w:p>
              </w:txbxContent>
            </v:textbox>
          </v:rect>
        </w:pict>
      </w:r>
    </w:p>
    <w:p>
      <w:pPr>
        <w:tabs>
          <w:tab w:val="left" w:pos="2041"/>
          <w:tab w:val="left" w:pos="3600"/>
          <w:tab w:val="left" w:pos="3780"/>
        </w:tabs>
        <w:spacing w:line="360" w:lineRule="auto"/>
        <w:ind w:firstLine="424" w:firstLineChars="202"/>
        <w:rPr>
          <w:rFonts w:ascii="Arial" w:hAnsi="Arial" w:cs="Arial"/>
          <w:color w:val="auto"/>
          <w:szCs w:val="21"/>
        </w:rPr>
      </w:pPr>
    </w:p>
    <w:p>
      <w:pPr>
        <w:tabs>
          <w:tab w:val="left" w:pos="2041"/>
          <w:tab w:val="left" w:pos="3600"/>
          <w:tab w:val="left" w:pos="3780"/>
        </w:tabs>
        <w:spacing w:line="360" w:lineRule="auto"/>
        <w:ind w:firstLine="424" w:firstLineChars="202"/>
        <w:rPr>
          <w:rFonts w:ascii="Arial" w:hAnsi="Arial" w:cs="Arial"/>
          <w:color w:val="auto"/>
          <w:szCs w:val="21"/>
        </w:rPr>
      </w:pPr>
    </w:p>
    <w:p>
      <w:pPr>
        <w:pStyle w:val="4"/>
        <w:keepNext w:val="0"/>
        <w:keepLines w:val="0"/>
        <w:numPr>
          <w:ilvl w:val="1"/>
          <w:numId w:val="35"/>
        </w:numPr>
        <w:tabs>
          <w:tab w:val="left" w:pos="567"/>
        </w:tabs>
        <w:jc w:val="center"/>
        <w:rPr>
          <w:rFonts w:hAnsi="宋体" w:cs="Arial"/>
          <w:color w:val="auto"/>
          <w:sz w:val="21"/>
        </w:rPr>
      </w:pPr>
      <w:r>
        <w:rPr>
          <w:rFonts w:ascii="Arial" w:cs="Arial"/>
          <w:color w:val="auto"/>
          <w:szCs w:val="21"/>
        </w:rPr>
        <w:br w:type="page"/>
      </w:r>
      <w:bookmarkStart w:id="357" w:name="_Toc479156424"/>
      <w:bookmarkStart w:id="358" w:name="_Toc367012690"/>
      <w:bookmarkStart w:id="359" w:name="_Toc368513949"/>
      <w:bookmarkStart w:id="360" w:name="_Toc367012688"/>
      <w:bookmarkStart w:id="361" w:name="_Toc362945034"/>
      <w:bookmarkStart w:id="362" w:name="_Toc275865623"/>
    </w:p>
    <w:p>
      <w:pPr>
        <w:pStyle w:val="4"/>
        <w:keepNext w:val="0"/>
        <w:keepLines w:val="0"/>
        <w:numPr>
          <w:ilvl w:val="1"/>
          <w:numId w:val="35"/>
        </w:numPr>
        <w:tabs>
          <w:tab w:val="left" w:pos="567"/>
        </w:tabs>
        <w:jc w:val="center"/>
        <w:rPr>
          <w:rFonts w:hAnsi="宋体"/>
          <w:color w:val="auto"/>
          <w:sz w:val="21"/>
          <w:szCs w:val="21"/>
        </w:rPr>
      </w:pPr>
      <w:r>
        <w:rPr>
          <w:rFonts w:hint="eastAsia" w:hAnsi="宋体"/>
          <w:color w:val="auto"/>
          <w:sz w:val="21"/>
          <w:szCs w:val="21"/>
        </w:rPr>
        <w:t>投标一览表</w:t>
      </w:r>
      <w:bookmarkEnd w:id="357"/>
    </w:p>
    <w:p>
      <w:pPr>
        <w:pStyle w:val="4"/>
        <w:rPr>
          <w:color w:val="auto"/>
        </w:rPr>
      </w:pPr>
    </w:p>
    <w:p>
      <w:pPr>
        <w:tabs>
          <w:tab w:val="left" w:pos="9240"/>
        </w:tabs>
        <w:rPr>
          <w:color w:val="auto"/>
        </w:rPr>
      </w:pPr>
      <w:r>
        <w:rPr>
          <w:rFonts w:hint="eastAsia"/>
          <w:color w:val="auto"/>
        </w:rPr>
        <w:t>项目名称：</w:t>
      </w:r>
      <w:r>
        <w:rPr>
          <w:rFonts w:hint="eastAsia"/>
          <w:color w:val="auto"/>
          <w:u w:val="single"/>
        </w:rPr>
        <w:t xml:space="preserve">高明区人民医院被服洗涤服务项目         </w:t>
      </w:r>
      <w:r>
        <w:rPr>
          <w:rFonts w:hint="eastAsia"/>
          <w:color w:val="auto"/>
        </w:rPr>
        <w:t xml:space="preserve">项目编号：            </w:t>
      </w:r>
      <w:r>
        <w:rPr>
          <w:color w:val="auto"/>
        </w:rPr>
        <w:fldChar w:fldCharType="begin"/>
      </w:r>
      <w:r>
        <w:rPr>
          <w:color w:val="auto"/>
        </w:rPr>
        <w:instrText xml:space="preserve"> STYLEREF 题注1 \* MERGEFORMAT </w:instrText>
      </w:r>
      <w:r>
        <w:rPr>
          <w:color w:val="auto"/>
        </w:rPr>
        <w:fldChar w:fldCharType="end"/>
      </w:r>
      <w:r>
        <w:rPr>
          <w:rFonts w:hint="eastAsia"/>
          <w:color w:val="auto"/>
        </w:rPr>
        <w:t>报价单位：</w:t>
      </w:r>
      <w:r>
        <w:rPr>
          <w:rFonts w:hint="eastAsia"/>
          <w:color w:val="auto"/>
        </w:rPr>
        <w:t>人民币元</w:t>
      </w:r>
      <w:r>
        <w:rPr>
          <w:color w:val="auto"/>
        </w:rPr>
        <w:tab/>
      </w:r>
    </w:p>
    <w:p>
      <w:pPr>
        <w:pStyle w:val="2"/>
        <w:rPr>
          <w:color w:val="auto"/>
        </w:rPr>
      </w:pPr>
    </w:p>
    <w:tbl>
      <w:tblPr>
        <w:tblStyle w:val="38"/>
        <w:tblW w:w="87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60"/>
        <w:gridCol w:w="4098"/>
        <w:gridCol w:w="19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60" w:type="dxa"/>
            <w:vAlign w:val="center"/>
          </w:tcPr>
          <w:p>
            <w:pPr>
              <w:jc w:val="center"/>
              <w:rPr>
                <w:color w:val="auto"/>
              </w:rPr>
            </w:pPr>
            <w:r>
              <w:rPr>
                <w:rFonts w:hint="eastAsia"/>
                <w:color w:val="auto"/>
              </w:rPr>
              <w:t>标的内容</w:t>
            </w:r>
          </w:p>
        </w:tc>
        <w:tc>
          <w:tcPr>
            <w:tcW w:w="4098" w:type="dxa"/>
            <w:vAlign w:val="center"/>
          </w:tcPr>
          <w:p>
            <w:pPr>
              <w:jc w:val="center"/>
              <w:rPr>
                <w:color w:val="auto"/>
              </w:rPr>
            </w:pPr>
            <w:r>
              <w:rPr>
                <w:rFonts w:hint="eastAsia"/>
                <w:color w:val="auto"/>
              </w:rPr>
              <w:t>投标折扣率</w:t>
            </w:r>
          </w:p>
        </w:tc>
        <w:tc>
          <w:tcPr>
            <w:tcW w:w="1997" w:type="dxa"/>
            <w:vAlign w:val="center"/>
          </w:tcPr>
          <w:p>
            <w:pPr>
              <w:ind w:right="71" w:rightChars="34"/>
              <w:jc w:val="center"/>
              <w:rPr>
                <w:color w:val="auto"/>
              </w:rPr>
            </w:pPr>
            <w:r>
              <w:rPr>
                <w:rFonts w:hint="eastAsia"/>
                <w:color w:val="auto"/>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60" w:type="dxa"/>
          </w:tcPr>
          <w:p>
            <w:pPr>
              <w:spacing w:line="360" w:lineRule="auto"/>
              <w:rPr>
                <w:color w:val="auto"/>
              </w:rPr>
            </w:pPr>
          </w:p>
        </w:tc>
        <w:tc>
          <w:tcPr>
            <w:tcW w:w="4098" w:type="dxa"/>
            <w:vAlign w:val="center"/>
          </w:tcPr>
          <w:p>
            <w:pPr>
              <w:jc w:val="center"/>
              <w:rPr>
                <w:iCs/>
                <w:color w:val="auto"/>
                <w:u w:val="single"/>
              </w:rPr>
            </w:pPr>
            <w:r>
              <w:rPr>
                <w:rFonts w:hint="eastAsia"/>
                <w:color w:val="auto"/>
              </w:rPr>
              <w:t>投标折扣率（百分比）：</w:t>
            </w:r>
            <w:r>
              <w:rPr>
                <w:rFonts w:hint="eastAsia"/>
                <w:iCs/>
                <w:color w:val="auto"/>
                <w:u w:val="single"/>
              </w:rPr>
              <w:t>（大写）</w:t>
            </w:r>
          </w:p>
          <w:p>
            <w:pPr>
              <w:jc w:val="center"/>
              <w:rPr>
                <w:color w:val="auto"/>
              </w:rPr>
            </w:pPr>
            <w:r>
              <w:rPr>
                <w:rFonts w:hint="eastAsia"/>
                <w:color w:val="auto"/>
              </w:rPr>
              <w:t>￥：</w:t>
            </w:r>
            <w:r>
              <w:rPr>
                <w:rFonts w:hint="eastAsia"/>
                <w:iCs/>
                <w:color w:val="auto"/>
                <w:u w:val="single"/>
              </w:rPr>
              <w:t>（小写）</w:t>
            </w:r>
          </w:p>
        </w:tc>
        <w:tc>
          <w:tcPr>
            <w:tcW w:w="1997" w:type="dxa"/>
            <w:vAlign w:val="center"/>
          </w:tcPr>
          <w:p>
            <w:pPr>
              <w:ind w:right="71" w:rightChars="34"/>
              <w:jc w:val="center"/>
              <w:rPr>
                <w:color w:val="auto"/>
              </w:rPr>
            </w:pPr>
          </w:p>
        </w:tc>
      </w:tr>
    </w:tbl>
    <w:p>
      <w:pPr>
        <w:spacing w:line="360" w:lineRule="auto"/>
        <w:rPr>
          <w:color w:val="auto"/>
        </w:rPr>
      </w:pPr>
    </w:p>
    <w:p>
      <w:pPr>
        <w:spacing w:line="360" w:lineRule="auto"/>
        <w:rPr>
          <w:color w:val="auto"/>
        </w:rPr>
      </w:pPr>
    </w:p>
    <w:p>
      <w:pPr>
        <w:spacing w:line="360" w:lineRule="auto"/>
        <w:rPr>
          <w:color w:val="auto"/>
        </w:rPr>
      </w:pPr>
    </w:p>
    <w:p>
      <w:pPr>
        <w:pStyle w:val="7"/>
        <w:keepLines/>
        <w:widowControl/>
        <w:snapToGrid w:val="0"/>
        <w:spacing w:line="360" w:lineRule="auto"/>
        <w:ind w:firstLine="0"/>
        <w:rPr>
          <w:bCs/>
          <w:color w:val="auto"/>
          <w:u w:val="single"/>
        </w:rPr>
      </w:pPr>
      <w:r>
        <w:rPr>
          <w:rFonts w:hint="eastAsia"/>
          <w:bCs/>
          <w:color w:val="auto"/>
        </w:rPr>
        <w:t>投标人代表签字：</w:t>
      </w:r>
    </w:p>
    <w:p>
      <w:pPr>
        <w:keepLines/>
        <w:widowControl/>
        <w:adjustRightInd w:val="0"/>
        <w:snapToGrid w:val="0"/>
        <w:spacing w:line="360" w:lineRule="auto"/>
        <w:rPr>
          <w:rFonts w:ascii="宋体" w:hAnsi="宋体"/>
          <w:bCs/>
          <w:color w:val="auto"/>
        </w:rPr>
      </w:pPr>
      <w:r>
        <w:rPr>
          <w:rFonts w:hint="eastAsia" w:ascii="宋体" w:hAnsi="宋体"/>
          <w:bCs/>
          <w:color w:val="auto"/>
        </w:rPr>
        <w:t xml:space="preserve">                          （盖公章）</w:t>
      </w:r>
    </w:p>
    <w:p>
      <w:pPr>
        <w:keepLines/>
        <w:widowControl/>
        <w:tabs>
          <w:tab w:val="left" w:pos="720"/>
        </w:tabs>
        <w:adjustRightInd w:val="0"/>
        <w:snapToGrid w:val="0"/>
        <w:spacing w:line="360" w:lineRule="auto"/>
        <w:rPr>
          <w:rFonts w:ascii="宋体" w:hAnsi="宋体"/>
          <w:bCs/>
          <w:color w:val="auto"/>
          <w:kern w:val="0"/>
        </w:rPr>
      </w:pPr>
      <w:r>
        <w:rPr>
          <w:rFonts w:hint="eastAsia" w:ascii="宋体" w:hAnsi="宋体"/>
          <w:bCs/>
          <w:color w:val="auto"/>
          <w:kern w:val="0"/>
        </w:rPr>
        <w:t>日期：年月日</w:t>
      </w:r>
    </w:p>
    <w:p>
      <w:pPr>
        <w:spacing w:line="360" w:lineRule="auto"/>
        <w:rPr>
          <w:color w:val="auto"/>
          <w:sz w:val="24"/>
          <w:u w:val="single"/>
        </w:rPr>
      </w:pPr>
    </w:p>
    <w:p>
      <w:pPr>
        <w:spacing w:line="360" w:lineRule="auto"/>
        <w:rPr>
          <w:color w:val="auto"/>
        </w:rPr>
      </w:pPr>
      <w:r>
        <w:rPr>
          <w:rFonts w:hint="eastAsia"/>
          <w:color w:val="auto"/>
        </w:rPr>
        <w:t>注：此表应按“投标人须知”的规定密封标记并密封另单独提交一份。</w:t>
      </w:r>
    </w:p>
    <w:p>
      <w:pPr>
        <w:spacing w:line="360" w:lineRule="auto"/>
        <w:rPr>
          <w:color w:val="auto"/>
        </w:rPr>
      </w:pPr>
    </w:p>
    <w:p>
      <w:pPr>
        <w:spacing w:line="360" w:lineRule="auto"/>
        <w:rPr>
          <w:rFonts w:hAnsi="宋体"/>
          <w:color w:val="auto"/>
          <w:szCs w:val="21"/>
        </w:rPr>
      </w:pPr>
      <w:r>
        <w:rPr>
          <w:rFonts w:ascii="Arial" w:cs="Arial"/>
          <w:color w:val="auto"/>
          <w:szCs w:val="21"/>
        </w:rPr>
        <w:br w:type="page"/>
      </w:r>
      <w:bookmarkStart w:id="363" w:name="_Toc469663699"/>
      <w:bookmarkStart w:id="364" w:name="_Toc30387"/>
      <w:bookmarkStart w:id="365" w:name="_Toc18934998"/>
      <w:bookmarkStart w:id="366" w:name="_Toc18935140"/>
      <w:bookmarkStart w:id="367" w:name="_Toc5197"/>
      <w:bookmarkStart w:id="368" w:name="_Toc14755"/>
      <w:bookmarkStart w:id="369" w:name="_Toc20824"/>
      <w:r>
        <w:rPr>
          <w:rFonts w:hint="eastAsia" w:hAnsi="宋体"/>
          <w:color w:val="auto"/>
          <w:szCs w:val="21"/>
        </w:rPr>
        <w:t>附表：中小微企业声明函（供应商为中小微型企业时适用）</w:t>
      </w:r>
      <w:bookmarkEnd w:id="363"/>
      <w:bookmarkEnd w:id="364"/>
      <w:bookmarkEnd w:id="365"/>
      <w:bookmarkEnd w:id="366"/>
      <w:bookmarkEnd w:id="367"/>
      <w:bookmarkEnd w:id="368"/>
      <w:bookmarkEnd w:id="369"/>
    </w:p>
    <w:p>
      <w:pPr>
        <w:spacing w:beforeLines="50" w:afterLines="50" w:line="360" w:lineRule="auto"/>
        <w:jc w:val="center"/>
        <w:rPr>
          <w:rFonts w:ascii="宋体" w:hAnsi="宋体"/>
          <w:b/>
          <w:color w:val="auto"/>
          <w:szCs w:val="21"/>
        </w:rPr>
      </w:pPr>
      <w:r>
        <w:rPr>
          <w:rFonts w:hint="eastAsia" w:ascii="宋体" w:hAnsi="宋体"/>
          <w:b/>
          <w:color w:val="auto"/>
          <w:szCs w:val="21"/>
        </w:rPr>
        <w:t>中小微企业声明函</w:t>
      </w:r>
    </w:p>
    <w:p>
      <w:pPr>
        <w:spacing w:line="360" w:lineRule="auto"/>
        <w:ind w:firstLine="420" w:firstLineChars="200"/>
        <w:rPr>
          <w:rFonts w:ascii="宋体" w:hAnsi="宋体"/>
          <w:color w:val="auto"/>
          <w:szCs w:val="21"/>
        </w:rPr>
      </w:pPr>
      <w:r>
        <w:rPr>
          <w:rFonts w:hint="eastAsia" w:ascii="宋体" w:hAnsi="宋体"/>
          <w:color w:val="auto"/>
          <w:szCs w:val="21"/>
        </w:rPr>
        <w:t>本单位郑重声明，根据《政府采购促进中小企业发展暂行办法》（财库〔2011〕181号）的规定，本单位为______（请填写：中型、小型、微型）企业。即，本单位同时满足以下条件：</w:t>
      </w:r>
    </w:p>
    <w:p>
      <w:pPr>
        <w:spacing w:line="360" w:lineRule="auto"/>
        <w:ind w:firstLine="420" w:firstLineChars="200"/>
        <w:rPr>
          <w:rFonts w:ascii="宋体" w:hAnsi="宋体"/>
          <w:color w:val="auto"/>
          <w:szCs w:val="21"/>
        </w:rPr>
      </w:pPr>
      <w:r>
        <w:rPr>
          <w:rFonts w:hint="eastAsia" w:ascii="宋体" w:hAnsi="宋体"/>
          <w:color w:val="auto"/>
          <w:szCs w:val="21"/>
        </w:rPr>
        <w:t>1.根据《工业和信息化部、国家统计局、国家发展和改革委员会、财政部关于印发中小企业划型标准规定的通知》（工信部联企业〔2011〕300号）规定的划分标准，本单位为______（请填写：中型、小型、微型）企业。</w:t>
      </w:r>
    </w:p>
    <w:p>
      <w:pPr>
        <w:spacing w:line="360" w:lineRule="auto"/>
        <w:ind w:firstLine="420" w:firstLineChars="200"/>
        <w:rPr>
          <w:rFonts w:ascii="宋体" w:hAnsi="宋体"/>
          <w:color w:val="auto"/>
          <w:szCs w:val="21"/>
        </w:rPr>
      </w:pPr>
      <w:r>
        <w:rPr>
          <w:rFonts w:hint="eastAsia" w:ascii="宋体" w:hAnsi="宋体"/>
          <w:color w:val="auto"/>
          <w:szCs w:val="21"/>
        </w:rPr>
        <w:t>2.本单位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firstLine="420" w:firstLineChars="200"/>
        <w:rPr>
          <w:rFonts w:ascii="宋体" w:hAnsi="宋体"/>
          <w:color w:val="auto"/>
          <w:szCs w:val="21"/>
        </w:rPr>
      </w:pPr>
      <w:r>
        <w:rPr>
          <w:rFonts w:hint="eastAsia" w:ascii="宋体" w:hAnsi="宋体"/>
          <w:color w:val="auto"/>
          <w:szCs w:val="21"/>
        </w:rPr>
        <w:t>本单位对上述声明的真实性负责。如有虚假，将依法承担相应责任。</w:t>
      </w:r>
    </w:p>
    <w:p>
      <w:pPr>
        <w:spacing w:line="360" w:lineRule="auto"/>
        <w:ind w:firstLine="420" w:firstLineChars="200"/>
        <w:rPr>
          <w:rFonts w:ascii="宋体" w:hAnsi="宋体"/>
          <w:color w:val="auto"/>
          <w:szCs w:val="21"/>
        </w:rPr>
      </w:pPr>
    </w:p>
    <w:p>
      <w:pPr>
        <w:spacing w:line="360" w:lineRule="auto"/>
        <w:ind w:firstLine="6201" w:firstLineChars="2953"/>
        <w:jc w:val="left"/>
        <w:rPr>
          <w:rFonts w:ascii="宋体" w:hAnsi="宋体"/>
          <w:color w:val="auto"/>
          <w:szCs w:val="21"/>
        </w:rPr>
      </w:pPr>
    </w:p>
    <w:p>
      <w:pPr>
        <w:spacing w:line="360" w:lineRule="auto"/>
        <w:ind w:firstLine="6201" w:firstLineChars="2953"/>
        <w:jc w:val="left"/>
        <w:rPr>
          <w:rFonts w:ascii="宋体" w:hAnsi="宋体"/>
          <w:color w:val="auto"/>
          <w:szCs w:val="21"/>
        </w:rPr>
      </w:pPr>
      <w:r>
        <w:rPr>
          <w:rFonts w:hint="eastAsia" w:ascii="宋体" w:hAnsi="宋体"/>
          <w:color w:val="auto"/>
          <w:szCs w:val="21"/>
        </w:rPr>
        <w:t>企业名称（盖章）：</w:t>
      </w:r>
    </w:p>
    <w:p>
      <w:pPr>
        <w:spacing w:line="360" w:lineRule="auto"/>
        <w:ind w:firstLine="6201" w:firstLineChars="2953"/>
        <w:jc w:val="left"/>
        <w:rPr>
          <w:rFonts w:ascii="宋体" w:hAnsi="宋体"/>
          <w:color w:val="auto"/>
          <w:szCs w:val="21"/>
        </w:rPr>
      </w:pPr>
      <w:r>
        <w:rPr>
          <w:rFonts w:hint="eastAsia" w:ascii="宋体" w:hAnsi="宋体"/>
          <w:color w:val="auto"/>
          <w:szCs w:val="21"/>
        </w:rPr>
        <w:t>日 期：　　</w:t>
      </w:r>
    </w:p>
    <w:p>
      <w:pPr>
        <w:spacing w:line="360" w:lineRule="auto"/>
        <w:rPr>
          <w:rFonts w:ascii="宋体" w:hAnsi="宋体"/>
          <w:color w:val="auto"/>
          <w:szCs w:val="21"/>
        </w:rPr>
      </w:pPr>
    </w:p>
    <w:p>
      <w:pPr>
        <w:pStyle w:val="4"/>
        <w:keepNext w:val="0"/>
        <w:keepLines w:val="0"/>
        <w:numPr>
          <w:ilvl w:val="1"/>
          <w:numId w:val="35"/>
        </w:numPr>
        <w:tabs>
          <w:tab w:val="left" w:pos="567"/>
        </w:tabs>
        <w:jc w:val="center"/>
        <w:rPr>
          <w:rFonts w:hAnsi="宋体" w:cs="Arial"/>
          <w:color w:val="auto"/>
          <w:sz w:val="28"/>
        </w:rPr>
      </w:pPr>
      <w:r>
        <w:rPr>
          <w:color w:val="auto"/>
        </w:rPr>
        <w:br w:type="page"/>
      </w:r>
      <w:bookmarkStart w:id="370" w:name="_Toc24263"/>
      <w:bookmarkStart w:id="371" w:name="_Toc22638"/>
      <w:bookmarkStart w:id="372" w:name="_Toc24943"/>
      <w:bookmarkStart w:id="373" w:name="_Toc469663700"/>
      <w:bookmarkStart w:id="374" w:name="_Toc303"/>
      <w:bookmarkStart w:id="375" w:name="_Toc18934999"/>
      <w:bookmarkStart w:id="376" w:name="_Toc3882"/>
      <w:bookmarkStart w:id="377" w:name="_Toc18935141"/>
      <w:bookmarkStart w:id="378" w:name="_Toc2973"/>
      <w:r>
        <w:rPr>
          <w:rFonts w:hint="eastAsia" w:hAnsi="宋体"/>
          <w:color w:val="auto"/>
          <w:sz w:val="21"/>
          <w:szCs w:val="21"/>
        </w:rPr>
        <w:t>实质性响应一览表</w:t>
      </w:r>
      <w:bookmarkEnd w:id="370"/>
      <w:bookmarkEnd w:id="371"/>
      <w:bookmarkEnd w:id="372"/>
      <w:bookmarkEnd w:id="373"/>
      <w:bookmarkEnd w:id="374"/>
      <w:bookmarkEnd w:id="375"/>
      <w:bookmarkEnd w:id="376"/>
      <w:bookmarkEnd w:id="377"/>
      <w:bookmarkEnd w:id="378"/>
    </w:p>
    <w:p>
      <w:pPr>
        <w:tabs>
          <w:tab w:val="left" w:pos="5812"/>
        </w:tabs>
        <w:spacing w:beforeLines="50" w:afterLines="50" w:line="360" w:lineRule="auto"/>
        <w:rPr>
          <w:rFonts w:ascii="宋体" w:hAnsi="宋体"/>
          <w:color w:val="auto"/>
          <w:szCs w:val="21"/>
          <w:u w:val="single"/>
        </w:rPr>
      </w:pPr>
      <w:r>
        <w:rPr>
          <w:rFonts w:hint="eastAsia" w:ascii="宋体" w:hAnsi="宋体" w:cs="Arial"/>
          <w:color w:val="auto"/>
          <w:szCs w:val="21"/>
        </w:rPr>
        <w:t xml:space="preserve">项目名称：                    </w:t>
      </w:r>
      <w:r>
        <w:rPr>
          <w:rFonts w:hint="eastAsia" w:ascii="宋体" w:hAnsi="宋体" w:cs="Arial"/>
          <w:color w:val="auto"/>
          <w:szCs w:val="21"/>
        </w:rPr>
        <w:tab/>
      </w:r>
      <w:r>
        <w:rPr>
          <w:rFonts w:hint="eastAsia" w:ascii="宋体" w:hAnsi="宋体" w:cs="Arial"/>
          <w:color w:val="auto"/>
          <w:szCs w:val="21"/>
        </w:rPr>
        <w:t>项目编号：</w:t>
      </w:r>
    </w:p>
    <w:tbl>
      <w:tblPr>
        <w:tblStyle w:val="37"/>
        <w:tblW w:w="9062" w:type="dxa"/>
        <w:jc w:val="center"/>
        <w:tblInd w:w="0" w:type="dxa"/>
        <w:tblLayout w:type="fixed"/>
        <w:tblCellMar>
          <w:top w:w="0" w:type="dxa"/>
          <w:left w:w="30" w:type="dxa"/>
          <w:bottom w:w="0" w:type="dxa"/>
          <w:right w:w="30" w:type="dxa"/>
        </w:tblCellMar>
      </w:tblPr>
      <w:tblGrid>
        <w:gridCol w:w="882"/>
        <w:gridCol w:w="1559"/>
        <w:gridCol w:w="2266"/>
        <w:gridCol w:w="1974"/>
        <w:gridCol w:w="2381"/>
      </w:tblGrid>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r>
              <w:rPr>
                <w:rFonts w:hint="eastAsia" w:ascii="宋体" w:hAnsi="宋体" w:cs="Arial"/>
                <w:b/>
                <w:bCs/>
                <w:color w:val="auto"/>
                <w:szCs w:val="21"/>
              </w:rPr>
              <w:t>序号</w:t>
            </w: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r>
              <w:rPr>
                <w:rFonts w:hint="eastAsia" w:ascii="宋体" w:hAnsi="宋体" w:cs="Arial"/>
                <w:b/>
                <w:bCs/>
                <w:color w:val="auto"/>
                <w:szCs w:val="21"/>
              </w:rPr>
              <w:t>磋商文件要求</w:t>
            </w: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r>
              <w:rPr>
                <w:rFonts w:hint="eastAsia" w:ascii="宋体" w:hAnsi="宋体" w:cs="Arial"/>
                <w:b/>
                <w:bCs/>
                <w:color w:val="auto"/>
                <w:szCs w:val="21"/>
              </w:rPr>
              <w:t>供应商响应情况描述</w:t>
            </w: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r>
              <w:rPr>
                <w:rFonts w:hint="eastAsia" w:ascii="宋体" w:hAnsi="宋体" w:cs="Arial"/>
                <w:b/>
                <w:bCs/>
                <w:color w:val="auto"/>
                <w:szCs w:val="21"/>
              </w:rPr>
              <w:t>供应商应答（完全响应/正偏离/负偏离）</w:t>
            </w: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r>
              <w:rPr>
                <w:rFonts w:hint="eastAsia" w:ascii="宋体" w:hAnsi="宋体" w:cs="Arial"/>
                <w:b/>
                <w:bCs/>
                <w:color w:val="auto"/>
                <w:szCs w:val="21"/>
              </w:rPr>
              <w:t>查阅页码</w:t>
            </w:r>
          </w:p>
        </w:tc>
      </w:tr>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r>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r>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r>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r>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r>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r>
      <w:tr>
        <w:tblPrEx>
          <w:tblLayout w:type="fixed"/>
          <w:tblCellMar>
            <w:top w:w="0" w:type="dxa"/>
            <w:left w:w="30" w:type="dxa"/>
            <w:bottom w:w="0" w:type="dxa"/>
            <w:right w:w="30" w:type="dxa"/>
          </w:tblCellMar>
        </w:tblPrEx>
        <w:trPr>
          <w:trHeight w:val="318" w:hRule="atLeast"/>
          <w:jc w:val="center"/>
        </w:trPr>
        <w:tc>
          <w:tcPr>
            <w:tcW w:w="882"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559"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266"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1974"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c>
          <w:tcPr>
            <w:tcW w:w="2381"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b/>
                <w:bCs/>
                <w:color w:val="auto"/>
                <w:szCs w:val="21"/>
              </w:rPr>
            </w:pPr>
          </w:p>
        </w:tc>
      </w:tr>
    </w:tbl>
    <w:p>
      <w:pPr>
        <w:pStyle w:val="7"/>
        <w:spacing w:line="360" w:lineRule="auto"/>
        <w:ind w:firstLine="312" w:firstLineChars="148"/>
        <w:rPr>
          <w:rFonts w:ascii="宋体" w:hAnsi="宋体"/>
          <w:b/>
          <w:bCs/>
          <w:color w:val="auto"/>
          <w:szCs w:val="21"/>
        </w:rPr>
      </w:pPr>
      <w:r>
        <w:rPr>
          <w:rFonts w:hint="eastAsia" w:ascii="宋体" w:hAnsi="宋体"/>
          <w:b/>
          <w:bCs/>
          <w:color w:val="auto"/>
          <w:szCs w:val="21"/>
        </w:rPr>
        <w:t>注：如磋商文件中有“★”标注的内容，请在上表填写，并作出一一响应。</w:t>
      </w:r>
    </w:p>
    <w:p>
      <w:pPr>
        <w:pStyle w:val="7"/>
        <w:spacing w:line="360" w:lineRule="auto"/>
        <w:rPr>
          <w:rFonts w:ascii="宋体" w:hAnsi="宋体" w:cs="Arial"/>
          <w:color w:val="auto"/>
        </w:rPr>
      </w:pPr>
      <w:r>
        <w:rPr>
          <w:rFonts w:hint="eastAsia" w:ascii="宋体" w:hAnsi="宋体"/>
          <w:color w:val="auto"/>
        </w:rPr>
        <w:t>（此表可延长）</w:t>
      </w:r>
    </w:p>
    <w:p>
      <w:pPr>
        <w:widowControl/>
        <w:autoSpaceDE w:val="0"/>
        <w:autoSpaceDN w:val="0"/>
        <w:spacing w:line="360" w:lineRule="auto"/>
        <w:ind w:right="893"/>
        <w:textAlignment w:val="bottom"/>
        <w:rPr>
          <w:rFonts w:ascii="宋体" w:hAnsi="宋体" w:cs="Arial"/>
          <w:color w:val="auto"/>
        </w:rPr>
      </w:pPr>
    </w:p>
    <w:p>
      <w:pPr>
        <w:widowControl/>
        <w:autoSpaceDE w:val="0"/>
        <w:autoSpaceDN w:val="0"/>
        <w:spacing w:line="360" w:lineRule="auto"/>
        <w:ind w:right="893"/>
        <w:textAlignment w:val="bottom"/>
        <w:rPr>
          <w:rFonts w:ascii="宋体" w:hAnsi="宋体" w:cs="Arial"/>
          <w:color w:val="auto"/>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供应商名称(并加盖公章)：</w:t>
      </w:r>
    </w:p>
    <w:p>
      <w:pPr>
        <w:widowControl/>
        <w:autoSpaceDE w:val="0"/>
        <w:autoSpaceDN w:val="0"/>
        <w:spacing w:line="360" w:lineRule="auto"/>
        <w:ind w:right="893"/>
        <w:textAlignment w:val="bottom"/>
        <w:rPr>
          <w:rFonts w:ascii="宋体" w:hAnsi="宋体" w:cs="Arial"/>
          <w:color w:val="auto"/>
        </w:rPr>
      </w:pPr>
    </w:p>
    <w:p>
      <w:pPr>
        <w:widowControl/>
        <w:autoSpaceDE w:val="0"/>
        <w:autoSpaceDN w:val="0"/>
        <w:spacing w:line="360" w:lineRule="auto"/>
        <w:ind w:right="893"/>
        <w:textAlignment w:val="bottom"/>
        <w:rPr>
          <w:rFonts w:ascii="宋体" w:hAnsi="宋体"/>
          <w:color w:val="auto"/>
          <w:u w:val="single"/>
        </w:rPr>
      </w:pPr>
      <w:r>
        <w:rPr>
          <w:rFonts w:hint="eastAsia" w:ascii="宋体" w:hAnsi="宋体" w:cs="Arial"/>
          <w:color w:val="auto"/>
        </w:rPr>
        <w:t>供应商法定代表人或其委托人签名或印鉴：</w:t>
      </w:r>
    </w:p>
    <w:p>
      <w:pPr>
        <w:widowControl/>
        <w:autoSpaceDE w:val="0"/>
        <w:autoSpaceDN w:val="0"/>
        <w:spacing w:line="360" w:lineRule="auto"/>
        <w:ind w:right="893"/>
        <w:textAlignment w:val="bottom"/>
        <w:rPr>
          <w:rFonts w:ascii="宋体" w:hAnsi="宋体"/>
          <w:color w:val="auto"/>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 xml:space="preserve">日期： </w:t>
      </w:r>
    </w:p>
    <w:p>
      <w:pPr>
        <w:pStyle w:val="4"/>
        <w:keepNext w:val="0"/>
        <w:keepLines w:val="0"/>
        <w:numPr>
          <w:ilvl w:val="1"/>
          <w:numId w:val="35"/>
        </w:numPr>
        <w:tabs>
          <w:tab w:val="left" w:pos="567"/>
        </w:tabs>
        <w:jc w:val="center"/>
        <w:rPr>
          <w:rFonts w:hAnsi="宋体"/>
          <w:bCs/>
          <w:color w:val="auto"/>
          <w:szCs w:val="21"/>
        </w:rPr>
      </w:pPr>
      <w:r>
        <w:rPr>
          <w:rFonts w:hint="eastAsia" w:hAnsi="宋体" w:cs="Arial"/>
          <w:color w:val="auto"/>
          <w:sz w:val="28"/>
        </w:rPr>
        <w:br w:type="page"/>
      </w:r>
      <w:bookmarkStart w:id="379" w:name="_Toc10913"/>
      <w:bookmarkStart w:id="380" w:name="_Toc26846"/>
      <w:bookmarkStart w:id="381" w:name="_Toc18935142"/>
      <w:bookmarkStart w:id="382" w:name="_Toc5858"/>
      <w:bookmarkStart w:id="383" w:name="_Toc469663701"/>
      <w:bookmarkStart w:id="384" w:name="_Toc24147"/>
      <w:bookmarkStart w:id="385" w:name="_Toc12138"/>
      <w:bookmarkStart w:id="386" w:name="_Toc12863"/>
      <w:bookmarkStart w:id="387" w:name="_Toc18935000"/>
      <w:r>
        <w:rPr>
          <w:rFonts w:hint="eastAsia" w:hAnsi="宋体"/>
          <w:color w:val="auto"/>
          <w:sz w:val="21"/>
          <w:szCs w:val="21"/>
        </w:rPr>
        <w:t>报价响应与磋商文件差异一览表</w:t>
      </w:r>
      <w:bookmarkEnd w:id="379"/>
      <w:bookmarkEnd w:id="380"/>
      <w:bookmarkEnd w:id="381"/>
      <w:bookmarkEnd w:id="382"/>
      <w:bookmarkEnd w:id="383"/>
      <w:bookmarkEnd w:id="384"/>
      <w:bookmarkEnd w:id="385"/>
      <w:bookmarkEnd w:id="386"/>
      <w:bookmarkEnd w:id="387"/>
    </w:p>
    <w:p>
      <w:pPr>
        <w:spacing w:before="50" w:after="188" w:line="400" w:lineRule="exact"/>
        <w:ind w:left="210" w:leftChars="100"/>
        <w:jc w:val="left"/>
        <w:rPr>
          <w:rFonts w:ascii="宋体" w:hAnsi="宋体"/>
          <w:b/>
          <w:bCs/>
          <w:color w:val="auto"/>
          <w:szCs w:val="21"/>
        </w:rPr>
      </w:pPr>
      <w:r>
        <w:rPr>
          <w:rFonts w:hint="eastAsia" w:ascii="宋体" w:hAnsi="宋体"/>
          <w:b/>
          <w:bCs/>
          <w:color w:val="auto"/>
          <w:szCs w:val="21"/>
        </w:rPr>
        <w:t>供应商对用户需求的响应情况</w:t>
      </w:r>
    </w:p>
    <w:tbl>
      <w:tblPr>
        <w:tblStyle w:val="37"/>
        <w:tblW w:w="92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3444"/>
        <w:gridCol w:w="1708"/>
        <w:gridCol w:w="197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579" w:type="dxa"/>
            <w:vAlign w:val="center"/>
          </w:tcPr>
          <w:p>
            <w:pPr>
              <w:jc w:val="center"/>
              <w:rPr>
                <w:rFonts w:ascii="宋体" w:hAnsi="宋体"/>
                <w:color w:val="auto"/>
              </w:rPr>
            </w:pPr>
            <w:r>
              <w:rPr>
                <w:rFonts w:hint="eastAsia" w:ascii="宋体" w:hAnsi="宋体"/>
                <w:color w:val="auto"/>
              </w:rPr>
              <w:t>序号</w:t>
            </w:r>
          </w:p>
        </w:tc>
        <w:tc>
          <w:tcPr>
            <w:tcW w:w="3444" w:type="dxa"/>
            <w:vAlign w:val="center"/>
          </w:tcPr>
          <w:p>
            <w:pPr>
              <w:jc w:val="center"/>
              <w:rPr>
                <w:rFonts w:ascii="宋体" w:hAnsi="宋体"/>
                <w:color w:val="auto"/>
              </w:rPr>
            </w:pPr>
            <w:r>
              <w:rPr>
                <w:rFonts w:hint="eastAsia" w:ascii="宋体" w:hAnsi="宋体"/>
                <w:color w:val="auto"/>
              </w:rPr>
              <w:t>磋商文件要求</w:t>
            </w:r>
          </w:p>
        </w:tc>
        <w:tc>
          <w:tcPr>
            <w:tcW w:w="1708" w:type="dxa"/>
            <w:vAlign w:val="center"/>
          </w:tcPr>
          <w:p>
            <w:pPr>
              <w:jc w:val="center"/>
              <w:rPr>
                <w:rFonts w:ascii="宋体" w:hAnsi="宋体"/>
                <w:color w:val="auto"/>
              </w:rPr>
            </w:pPr>
            <w:r>
              <w:rPr>
                <w:rFonts w:hint="eastAsia" w:ascii="宋体" w:hAnsi="宋体"/>
                <w:color w:val="auto"/>
              </w:rPr>
              <w:t>供应商响应情况描述</w:t>
            </w:r>
          </w:p>
        </w:tc>
        <w:tc>
          <w:tcPr>
            <w:tcW w:w="1977" w:type="dxa"/>
            <w:vAlign w:val="center"/>
          </w:tcPr>
          <w:p>
            <w:pPr>
              <w:jc w:val="center"/>
              <w:rPr>
                <w:rFonts w:ascii="宋体" w:hAnsi="宋体"/>
                <w:color w:val="auto"/>
              </w:rPr>
            </w:pPr>
            <w:r>
              <w:rPr>
                <w:rFonts w:hint="eastAsia" w:ascii="宋体" w:hAnsi="宋体"/>
                <w:color w:val="auto"/>
              </w:rPr>
              <w:t>偏离说明（正偏离/完全响应/负偏离）</w:t>
            </w:r>
          </w:p>
        </w:tc>
        <w:tc>
          <w:tcPr>
            <w:tcW w:w="1559" w:type="dxa"/>
            <w:vAlign w:val="center"/>
          </w:tcPr>
          <w:p>
            <w:pPr>
              <w:jc w:val="center"/>
              <w:rPr>
                <w:rFonts w:ascii="宋体" w:hAnsi="宋体"/>
                <w:color w:val="auto"/>
              </w:rPr>
            </w:pPr>
            <w:r>
              <w:rPr>
                <w:rFonts w:hint="eastAsia" w:ascii="宋体" w:hAnsi="宋体"/>
                <w:color w:val="auto"/>
              </w:rPr>
              <w:t>对应响应文件位置及页码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579" w:type="dxa"/>
          </w:tcPr>
          <w:p>
            <w:pPr>
              <w:spacing w:line="300" w:lineRule="auto"/>
              <w:jc w:val="center"/>
              <w:rPr>
                <w:rFonts w:ascii="宋体" w:hAnsi="宋体"/>
                <w:color w:val="auto"/>
                <w:szCs w:val="21"/>
              </w:rPr>
            </w:pPr>
          </w:p>
          <w:p>
            <w:pPr>
              <w:spacing w:line="300" w:lineRule="auto"/>
              <w:jc w:val="center"/>
              <w:rPr>
                <w:rFonts w:ascii="宋体" w:hAnsi="宋体"/>
                <w:color w:val="auto"/>
                <w:szCs w:val="21"/>
              </w:rPr>
            </w:pPr>
          </w:p>
        </w:tc>
        <w:tc>
          <w:tcPr>
            <w:tcW w:w="3444" w:type="dxa"/>
          </w:tcPr>
          <w:p>
            <w:pPr>
              <w:spacing w:line="300" w:lineRule="auto"/>
              <w:jc w:val="center"/>
              <w:rPr>
                <w:rFonts w:ascii="宋体" w:hAnsi="宋体"/>
                <w:color w:val="auto"/>
                <w:szCs w:val="21"/>
              </w:rPr>
            </w:pPr>
          </w:p>
        </w:tc>
        <w:tc>
          <w:tcPr>
            <w:tcW w:w="1708" w:type="dxa"/>
          </w:tcPr>
          <w:p>
            <w:pPr>
              <w:spacing w:line="300" w:lineRule="auto"/>
              <w:jc w:val="center"/>
              <w:rPr>
                <w:rFonts w:ascii="宋体" w:hAnsi="宋体"/>
                <w:color w:val="auto"/>
                <w:szCs w:val="21"/>
              </w:rPr>
            </w:pPr>
          </w:p>
        </w:tc>
        <w:tc>
          <w:tcPr>
            <w:tcW w:w="1977" w:type="dxa"/>
          </w:tcPr>
          <w:p>
            <w:pPr>
              <w:spacing w:line="300" w:lineRule="auto"/>
              <w:jc w:val="center"/>
              <w:rPr>
                <w:rFonts w:ascii="宋体" w:hAnsi="宋体"/>
                <w:color w:val="auto"/>
                <w:szCs w:val="21"/>
              </w:rPr>
            </w:pPr>
          </w:p>
        </w:tc>
        <w:tc>
          <w:tcPr>
            <w:tcW w:w="1559" w:type="dxa"/>
          </w:tcPr>
          <w:p>
            <w:pPr>
              <w:spacing w:line="300" w:lineRule="auto"/>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jc w:val="center"/>
        </w:trPr>
        <w:tc>
          <w:tcPr>
            <w:tcW w:w="579" w:type="dxa"/>
          </w:tcPr>
          <w:p>
            <w:pPr>
              <w:spacing w:line="300" w:lineRule="auto"/>
              <w:jc w:val="center"/>
              <w:rPr>
                <w:rFonts w:ascii="宋体" w:hAnsi="宋体"/>
                <w:color w:val="auto"/>
                <w:szCs w:val="21"/>
              </w:rPr>
            </w:pPr>
          </w:p>
          <w:p>
            <w:pPr>
              <w:spacing w:line="300" w:lineRule="auto"/>
              <w:jc w:val="center"/>
              <w:rPr>
                <w:rFonts w:ascii="宋体" w:hAnsi="宋体"/>
                <w:color w:val="auto"/>
                <w:szCs w:val="21"/>
              </w:rPr>
            </w:pPr>
          </w:p>
        </w:tc>
        <w:tc>
          <w:tcPr>
            <w:tcW w:w="3444" w:type="dxa"/>
          </w:tcPr>
          <w:p>
            <w:pPr>
              <w:spacing w:line="300" w:lineRule="auto"/>
              <w:jc w:val="center"/>
              <w:rPr>
                <w:rFonts w:ascii="宋体" w:hAnsi="宋体"/>
                <w:color w:val="auto"/>
                <w:szCs w:val="21"/>
              </w:rPr>
            </w:pPr>
          </w:p>
          <w:p>
            <w:pPr>
              <w:spacing w:line="300" w:lineRule="auto"/>
              <w:jc w:val="center"/>
              <w:rPr>
                <w:rFonts w:ascii="宋体" w:hAnsi="宋体"/>
                <w:color w:val="auto"/>
                <w:szCs w:val="21"/>
              </w:rPr>
            </w:pPr>
          </w:p>
        </w:tc>
        <w:tc>
          <w:tcPr>
            <w:tcW w:w="1708" w:type="dxa"/>
          </w:tcPr>
          <w:p>
            <w:pPr>
              <w:spacing w:line="300" w:lineRule="auto"/>
              <w:jc w:val="center"/>
              <w:rPr>
                <w:rFonts w:ascii="宋体" w:hAnsi="宋体"/>
                <w:color w:val="auto"/>
                <w:szCs w:val="21"/>
              </w:rPr>
            </w:pPr>
          </w:p>
        </w:tc>
        <w:tc>
          <w:tcPr>
            <w:tcW w:w="1977" w:type="dxa"/>
          </w:tcPr>
          <w:p>
            <w:pPr>
              <w:spacing w:line="300" w:lineRule="auto"/>
              <w:jc w:val="center"/>
              <w:rPr>
                <w:rFonts w:ascii="宋体" w:hAnsi="宋体"/>
                <w:color w:val="auto"/>
                <w:szCs w:val="21"/>
              </w:rPr>
            </w:pPr>
          </w:p>
        </w:tc>
        <w:tc>
          <w:tcPr>
            <w:tcW w:w="1559" w:type="dxa"/>
          </w:tcPr>
          <w:p>
            <w:pPr>
              <w:spacing w:line="300" w:lineRule="auto"/>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jc w:val="center"/>
        </w:trPr>
        <w:tc>
          <w:tcPr>
            <w:tcW w:w="579" w:type="dxa"/>
          </w:tcPr>
          <w:p>
            <w:pPr>
              <w:spacing w:line="300" w:lineRule="auto"/>
              <w:jc w:val="center"/>
              <w:rPr>
                <w:rFonts w:ascii="宋体" w:hAnsi="宋体"/>
                <w:color w:val="auto"/>
                <w:szCs w:val="21"/>
              </w:rPr>
            </w:pPr>
          </w:p>
        </w:tc>
        <w:tc>
          <w:tcPr>
            <w:tcW w:w="3444" w:type="dxa"/>
          </w:tcPr>
          <w:p>
            <w:pPr>
              <w:spacing w:line="300" w:lineRule="auto"/>
              <w:jc w:val="center"/>
              <w:rPr>
                <w:rFonts w:ascii="宋体" w:hAnsi="宋体"/>
                <w:color w:val="auto"/>
                <w:szCs w:val="21"/>
              </w:rPr>
            </w:pPr>
            <w:r>
              <w:rPr>
                <w:rFonts w:hint="eastAsia" w:ascii="宋体" w:hAnsi="宋体"/>
                <w:color w:val="auto"/>
                <w:szCs w:val="21"/>
              </w:rPr>
              <w:t>……</w:t>
            </w:r>
          </w:p>
        </w:tc>
        <w:tc>
          <w:tcPr>
            <w:tcW w:w="1708" w:type="dxa"/>
          </w:tcPr>
          <w:p>
            <w:pPr>
              <w:spacing w:line="300" w:lineRule="auto"/>
              <w:jc w:val="center"/>
              <w:rPr>
                <w:rFonts w:ascii="宋体" w:hAnsi="宋体"/>
                <w:color w:val="auto"/>
                <w:szCs w:val="21"/>
              </w:rPr>
            </w:pPr>
          </w:p>
        </w:tc>
        <w:tc>
          <w:tcPr>
            <w:tcW w:w="1977" w:type="dxa"/>
          </w:tcPr>
          <w:p>
            <w:pPr>
              <w:spacing w:line="300" w:lineRule="auto"/>
              <w:jc w:val="center"/>
              <w:rPr>
                <w:rFonts w:ascii="宋体" w:hAnsi="宋体"/>
                <w:color w:val="auto"/>
                <w:szCs w:val="21"/>
              </w:rPr>
            </w:pPr>
          </w:p>
        </w:tc>
        <w:tc>
          <w:tcPr>
            <w:tcW w:w="1559" w:type="dxa"/>
          </w:tcPr>
          <w:p>
            <w:pPr>
              <w:spacing w:line="300" w:lineRule="auto"/>
              <w:jc w:val="center"/>
              <w:rPr>
                <w:rFonts w:ascii="宋体" w:hAnsi="宋体"/>
                <w:color w:val="auto"/>
                <w:szCs w:val="21"/>
              </w:rPr>
            </w:pPr>
          </w:p>
        </w:tc>
      </w:tr>
    </w:tbl>
    <w:p>
      <w:pPr>
        <w:spacing w:line="300" w:lineRule="auto"/>
        <w:ind w:firstLine="359" w:firstLineChars="171"/>
        <w:rPr>
          <w:rFonts w:ascii="宋体" w:hAnsi="宋体"/>
          <w:color w:val="auto"/>
          <w:szCs w:val="21"/>
        </w:rPr>
      </w:pPr>
      <w:r>
        <w:rPr>
          <w:rFonts w:hint="eastAsia" w:ascii="宋体" w:hAnsi="宋体"/>
          <w:color w:val="auto"/>
          <w:szCs w:val="21"/>
        </w:rPr>
        <w:t>说明：</w:t>
      </w:r>
    </w:p>
    <w:p>
      <w:pPr>
        <w:spacing w:line="300" w:lineRule="auto"/>
        <w:ind w:firstLine="359" w:firstLineChars="171"/>
        <w:rPr>
          <w:rFonts w:ascii="宋体" w:hAnsi="宋体"/>
          <w:bCs/>
          <w:color w:val="auto"/>
          <w:szCs w:val="21"/>
        </w:rPr>
      </w:pPr>
      <w:r>
        <w:rPr>
          <w:rFonts w:hint="eastAsia" w:ascii="宋体" w:hAnsi="宋体"/>
          <w:bCs/>
          <w:color w:val="auto"/>
          <w:szCs w:val="21"/>
        </w:rPr>
        <w:t>1.把用户需求相关要求的响应情况逐条列入此表。</w:t>
      </w:r>
    </w:p>
    <w:p>
      <w:pPr>
        <w:spacing w:line="300" w:lineRule="auto"/>
        <w:ind w:firstLine="359" w:firstLineChars="171"/>
        <w:rPr>
          <w:rFonts w:ascii="宋体" w:hAnsi="宋体"/>
          <w:bCs/>
          <w:color w:val="auto"/>
          <w:szCs w:val="21"/>
        </w:rPr>
      </w:pPr>
      <w:r>
        <w:rPr>
          <w:rFonts w:hint="eastAsia" w:ascii="宋体" w:hAnsi="宋体"/>
          <w:bCs/>
          <w:color w:val="auto"/>
          <w:szCs w:val="21"/>
        </w:rPr>
        <w:t>2.按用户需求的顺序填写。</w:t>
      </w:r>
    </w:p>
    <w:p>
      <w:pPr>
        <w:spacing w:line="300" w:lineRule="auto"/>
        <w:ind w:firstLine="359" w:firstLineChars="171"/>
        <w:rPr>
          <w:rFonts w:ascii="宋体" w:hAnsi="宋体"/>
          <w:bCs/>
          <w:color w:val="auto"/>
          <w:szCs w:val="21"/>
        </w:rPr>
      </w:pPr>
      <w:r>
        <w:rPr>
          <w:rFonts w:hint="eastAsia" w:ascii="宋体" w:hAnsi="宋体"/>
          <w:bCs/>
          <w:color w:val="auto"/>
          <w:szCs w:val="21"/>
        </w:rPr>
        <w:t>3.此表可延长。</w:t>
      </w:r>
    </w:p>
    <w:p>
      <w:pPr>
        <w:spacing w:line="300" w:lineRule="auto"/>
        <w:ind w:firstLine="359" w:firstLineChars="171"/>
        <w:rPr>
          <w:rFonts w:ascii="宋体" w:hAnsi="宋体"/>
          <w:bCs/>
          <w:color w:val="auto"/>
          <w:szCs w:val="21"/>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供应商名称(并加盖公章)：</w:t>
      </w:r>
    </w:p>
    <w:p>
      <w:pPr>
        <w:widowControl/>
        <w:autoSpaceDE w:val="0"/>
        <w:autoSpaceDN w:val="0"/>
        <w:spacing w:line="360" w:lineRule="auto"/>
        <w:ind w:right="893"/>
        <w:textAlignment w:val="bottom"/>
        <w:rPr>
          <w:rFonts w:ascii="宋体" w:hAnsi="宋体"/>
          <w:color w:val="auto"/>
        </w:rPr>
      </w:pPr>
      <w:r>
        <w:rPr>
          <w:rFonts w:hint="eastAsia" w:ascii="宋体" w:hAnsi="宋体" w:cs="Arial"/>
          <w:color w:val="auto"/>
        </w:rPr>
        <w:t>供应商法定代表人或其委托人签名或印鉴：</w:t>
      </w:r>
    </w:p>
    <w:p>
      <w:pPr>
        <w:tabs>
          <w:tab w:val="left" w:pos="5812"/>
        </w:tabs>
        <w:spacing w:beforeLines="50" w:afterLines="50" w:line="360" w:lineRule="auto"/>
        <w:rPr>
          <w:rFonts w:ascii="宋体" w:hAnsi="宋体" w:cs="Arial"/>
          <w:color w:val="auto"/>
          <w:szCs w:val="21"/>
        </w:rPr>
      </w:pPr>
      <w:r>
        <w:rPr>
          <w:rFonts w:hint="eastAsia" w:ascii="宋体" w:hAnsi="宋体"/>
          <w:color w:val="auto"/>
        </w:rPr>
        <w:t>日期：</w:t>
      </w:r>
    </w:p>
    <w:p>
      <w:pPr>
        <w:pStyle w:val="4"/>
        <w:keepNext w:val="0"/>
        <w:keepLines w:val="0"/>
        <w:numPr>
          <w:ilvl w:val="1"/>
          <w:numId w:val="35"/>
        </w:numPr>
        <w:tabs>
          <w:tab w:val="left" w:pos="567"/>
        </w:tabs>
        <w:jc w:val="center"/>
        <w:rPr>
          <w:rFonts w:hAnsi="宋体" w:cs="Arial"/>
          <w:color w:val="auto"/>
          <w:sz w:val="28"/>
        </w:rPr>
      </w:pPr>
      <w:bookmarkStart w:id="388" w:name="_Toc108597129"/>
      <w:r>
        <w:rPr>
          <w:rFonts w:hint="eastAsia" w:hAnsi="宋体" w:cs="Arial"/>
          <w:b w:val="0"/>
          <w:color w:val="auto"/>
          <w:sz w:val="28"/>
        </w:rPr>
        <w:br w:type="page"/>
      </w:r>
      <w:bookmarkEnd w:id="388"/>
      <w:bookmarkStart w:id="389" w:name="_Toc6647"/>
      <w:bookmarkStart w:id="390" w:name="_Toc28406"/>
      <w:bookmarkStart w:id="391" w:name="_Toc469663702"/>
      <w:bookmarkStart w:id="392" w:name="_Toc13391"/>
      <w:bookmarkStart w:id="393" w:name="_Toc18935001"/>
      <w:bookmarkStart w:id="394" w:name="_Toc4602"/>
      <w:bookmarkStart w:id="395" w:name="_Toc18935143"/>
      <w:bookmarkStart w:id="396" w:name="_Toc14976"/>
      <w:bookmarkStart w:id="397" w:name="_Toc6467"/>
      <w:r>
        <w:rPr>
          <w:rFonts w:hint="eastAsia" w:hAnsi="宋体"/>
          <w:color w:val="auto"/>
          <w:sz w:val="21"/>
          <w:szCs w:val="21"/>
        </w:rPr>
        <w:t>供应商基本情况表</w:t>
      </w:r>
      <w:bookmarkEnd w:id="389"/>
      <w:bookmarkEnd w:id="390"/>
      <w:bookmarkEnd w:id="391"/>
      <w:bookmarkEnd w:id="392"/>
      <w:bookmarkEnd w:id="393"/>
      <w:bookmarkEnd w:id="394"/>
      <w:bookmarkEnd w:id="395"/>
      <w:bookmarkEnd w:id="396"/>
      <w:bookmarkEnd w:id="397"/>
    </w:p>
    <w:p>
      <w:pPr>
        <w:spacing w:beforeLines="50" w:afterLines="50" w:line="360" w:lineRule="auto"/>
        <w:rPr>
          <w:rFonts w:ascii="宋体" w:hAnsi="宋体" w:cs="Arial"/>
          <w:b/>
          <w:color w:val="auto"/>
        </w:rPr>
      </w:pPr>
      <w:r>
        <w:rPr>
          <w:rFonts w:hint="eastAsia" w:ascii="宋体" w:hAnsi="宋体" w:cs="Arial"/>
          <w:b/>
          <w:color w:val="auto"/>
        </w:rPr>
        <w:t>一、供应商基本情况</w:t>
      </w:r>
    </w:p>
    <w:p>
      <w:pPr>
        <w:spacing w:beforeLines="50" w:afterLines="50" w:line="360" w:lineRule="auto"/>
        <w:rPr>
          <w:rFonts w:ascii="宋体" w:hAnsi="宋体" w:cs="Arial"/>
          <w:color w:val="auto"/>
        </w:rPr>
      </w:pPr>
      <w:r>
        <w:rPr>
          <w:rFonts w:hint="eastAsia" w:ascii="宋体" w:hAnsi="宋体" w:cs="Arial"/>
          <w:color w:val="auto"/>
        </w:rPr>
        <w:t>1、供应商名称：  电话号码：</w:t>
      </w:r>
    </w:p>
    <w:p>
      <w:pPr>
        <w:spacing w:beforeLines="50" w:afterLines="50" w:line="360" w:lineRule="auto"/>
        <w:rPr>
          <w:rFonts w:ascii="宋体" w:hAnsi="宋体" w:cs="Arial"/>
          <w:color w:val="auto"/>
        </w:rPr>
      </w:pPr>
      <w:r>
        <w:rPr>
          <w:rFonts w:hint="eastAsia" w:ascii="宋体" w:hAnsi="宋体" w:cs="Arial"/>
          <w:color w:val="auto"/>
        </w:rPr>
        <w:t>2、地    址：  传    真：</w:t>
      </w:r>
    </w:p>
    <w:p>
      <w:pPr>
        <w:spacing w:beforeLines="50" w:afterLines="50" w:line="360" w:lineRule="auto"/>
        <w:rPr>
          <w:rFonts w:ascii="宋体" w:hAnsi="宋体" w:cs="Arial"/>
          <w:color w:val="auto"/>
          <w:u w:val="single"/>
        </w:rPr>
      </w:pPr>
      <w:r>
        <w:rPr>
          <w:rFonts w:hint="eastAsia" w:ascii="宋体" w:hAnsi="宋体" w:cs="Arial"/>
          <w:color w:val="auto"/>
        </w:rPr>
        <w:t>3、注册资金：  经济性质：</w:t>
      </w:r>
    </w:p>
    <w:p>
      <w:pPr>
        <w:spacing w:beforeLines="50" w:afterLines="50" w:line="360" w:lineRule="auto"/>
        <w:rPr>
          <w:rFonts w:ascii="宋体" w:hAnsi="宋体" w:cs="Arial"/>
          <w:color w:val="auto"/>
        </w:rPr>
      </w:pPr>
      <w:r>
        <w:rPr>
          <w:rFonts w:hint="eastAsia" w:ascii="宋体" w:hAnsi="宋体" w:cs="Arial"/>
          <w:color w:val="auto"/>
        </w:rPr>
        <w:t>4、供应商开户银行名称及账号：    地址：</w:t>
      </w:r>
    </w:p>
    <w:p>
      <w:pPr>
        <w:spacing w:beforeLines="50" w:afterLines="50" w:line="360" w:lineRule="auto"/>
        <w:ind w:left="360"/>
        <w:rPr>
          <w:rFonts w:ascii="宋体" w:hAnsi="宋体" w:cs="Arial"/>
          <w:color w:val="auto"/>
          <w:u w:val="single"/>
        </w:rPr>
      </w:pPr>
    </w:p>
    <w:p>
      <w:pPr>
        <w:spacing w:beforeLines="50" w:afterLines="50" w:line="360" w:lineRule="auto"/>
        <w:ind w:left="360"/>
        <w:rPr>
          <w:rFonts w:ascii="宋体" w:hAnsi="宋体" w:cs="Arial"/>
          <w:color w:val="auto"/>
          <w:u w:val="single"/>
        </w:rPr>
      </w:pPr>
    </w:p>
    <w:p>
      <w:pPr>
        <w:tabs>
          <w:tab w:val="left" w:pos="420"/>
        </w:tabs>
        <w:spacing w:beforeLines="50" w:afterLines="50" w:line="360" w:lineRule="auto"/>
        <w:ind w:left="420" w:hanging="420"/>
        <w:rPr>
          <w:rFonts w:ascii="宋体" w:hAnsi="宋体" w:cs="Arial"/>
          <w:color w:val="auto"/>
        </w:rPr>
      </w:pPr>
      <w:r>
        <w:rPr>
          <w:rFonts w:hint="eastAsia" w:ascii="宋体" w:hAnsi="宋体" w:cs="Arial"/>
          <w:color w:val="auto"/>
        </w:rPr>
        <w:t xml:space="preserve">5、营业注册执照号：   </w:t>
      </w:r>
    </w:p>
    <w:p>
      <w:pPr>
        <w:tabs>
          <w:tab w:val="left" w:pos="420"/>
        </w:tabs>
        <w:spacing w:beforeLines="50" w:afterLines="50" w:line="360" w:lineRule="auto"/>
        <w:ind w:left="420" w:hanging="420"/>
        <w:rPr>
          <w:rFonts w:ascii="宋体" w:hAnsi="宋体" w:cs="Arial"/>
          <w:color w:val="auto"/>
        </w:rPr>
      </w:pPr>
      <w:r>
        <w:rPr>
          <w:rFonts w:hint="eastAsia" w:ascii="宋体" w:hAnsi="宋体"/>
          <w:b/>
          <w:color w:val="auto"/>
          <w:szCs w:val="21"/>
        </w:rPr>
        <w:t>（随本表格附上最新营业执照/登记证副本的复印件及税务登记证副本复印件各一份，均需加盖公章，供应商如果有名称变更的，应提供由工商管理部门出具的变更证明文件。对已领取“三证合一”营业执照的企业无需提供组织机构代码证、税务登记证。）</w:t>
      </w:r>
    </w:p>
    <w:p>
      <w:pPr>
        <w:spacing w:beforeLines="50" w:afterLines="50" w:line="360" w:lineRule="auto"/>
        <w:rPr>
          <w:rFonts w:ascii="宋体" w:hAnsi="宋体" w:cs="Arial"/>
          <w:b/>
          <w:color w:val="auto"/>
        </w:rPr>
      </w:pPr>
      <w:r>
        <w:rPr>
          <w:rFonts w:hint="eastAsia" w:ascii="宋体" w:hAnsi="宋体" w:cs="Arial"/>
          <w:b/>
          <w:color w:val="auto"/>
        </w:rPr>
        <w:t>二、供应商简介</w:t>
      </w:r>
    </w:p>
    <w:p>
      <w:pPr>
        <w:spacing w:beforeLines="50" w:afterLines="50" w:line="360" w:lineRule="auto"/>
        <w:ind w:left="360"/>
        <w:rPr>
          <w:rFonts w:ascii="宋体" w:hAnsi="宋体" w:cs="Arial"/>
          <w:color w:val="auto"/>
        </w:rPr>
      </w:pPr>
      <w:r>
        <w:rPr>
          <w:rFonts w:hint="eastAsia" w:ascii="宋体" w:hAnsi="宋体" w:cs="Arial"/>
          <w:color w:val="auto"/>
        </w:rPr>
        <w:t>（自行描述）</w:t>
      </w:r>
    </w:p>
    <w:p>
      <w:pPr>
        <w:tabs>
          <w:tab w:val="left" w:pos="1080"/>
        </w:tabs>
        <w:spacing w:line="360" w:lineRule="auto"/>
        <w:rPr>
          <w:rFonts w:ascii="宋体" w:hAnsi="宋体"/>
          <w:b/>
          <w:color w:val="auto"/>
          <w:szCs w:val="21"/>
        </w:rPr>
      </w:pPr>
      <w:r>
        <w:rPr>
          <w:rFonts w:hint="eastAsia" w:ascii="宋体" w:hAnsi="宋体" w:cs="Arial"/>
          <w:b/>
          <w:color w:val="auto"/>
        </w:rPr>
        <w:t>三、</w:t>
      </w:r>
      <w:r>
        <w:rPr>
          <w:rFonts w:hint="eastAsia" w:ascii="宋体" w:hAnsi="宋体"/>
          <w:b/>
          <w:color w:val="auto"/>
          <w:szCs w:val="21"/>
        </w:rPr>
        <w:t>供应商财务情况</w:t>
      </w:r>
    </w:p>
    <w:tbl>
      <w:tblPr>
        <w:tblStyle w:val="37"/>
        <w:tblW w:w="7695" w:type="dxa"/>
        <w:jc w:val="center"/>
        <w:tblInd w:w="-525" w:type="dxa"/>
        <w:tblLayout w:type="fixed"/>
        <w:tblCellMar>
          <w:top w:w="0" w:type="dxa"/>
          <w:left w:w="30" w:type="dxa"/>
          <w:bottom w:w="0" w:type="dxa"/>
          <w:right w:w="30" w:type="dxa"/>
        </w:tblCellMar>
      </w:tblPr>
      <w:tblGrid>
        <w:gridCol w:w="1605"/>
        <w:gridCol w:w="3045"/>
        <w:gridCol w:w="1260"/>
        <w:gridCol w:w="1785"/>
      </w:tblGrid>
      <w:tr>
        <w:tblPrEx>
          <w:tblLayout w:type="fixed"/>
          <w:tblCellMar>
            <w:top w:w="0" w:type="dxa"/>
            <w:left w:w="30" w:type="dxa"/>
            <w:bottom w:w="0" w:type="dxa"/>
            <w:right w:w="30" w:type="dxa"/>
          </w:tblCellMar>
        </w:tblPrEx>
        <w:trPr>
          <w:trHeight w:val="336" w:hRule="atLeast"/>
          <w:jc w:val="center"/>
        </w:trPr>
        <w:tc>
          <w:tcPr>
            <w:tcW w:w="160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Lines="50" w:afterLines="50"/>
              <w:jc w:val="center"/>
              <w:rPr>
                <w:rFonts w:ascii="宋体" w:hAnsi="宋体" w:cs="Arial"/>
                <w:b/>
                <w:bCs/>
                <w:color w:val="auto"/>
                <w:szCs w:val="21"/>
              </w:rPr>
            </w:pPr>
            <w:r>
              <w:rPr>
                <w:rFonts w:hint="eastAsia" w:ascii="宋体" w:hAnsi="宋体" w:cs="Arial"/>
                <w:b/>
                <w:bCs/>
                <w:color w:val="auto"/>
                <w:szCs w:val="21"/>
              </w:rPr>
              <w:t>年份</w:t>
            </w:r>
          </w:p>
        </w:tc>
        <w:tc>
          <w:tcPr>
            <w:tcW w:w="304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Lines="50" w:afterLines="50"/>
              <w:jc w:val="center"/>
              <w:rPr>
                <w:rFonts w:ascii="宋体" w:hAnsi="宋体" w:cs="Arial"/>
                <w:b/>
                <w:bCs/>
                <w:color w:val="auto"/>
                <w:szCs w:val="21"/>
              </w:rPr>
            </w:pPr>
            <w:r>
              <w:rPr>
                <w:rFonts w:hint="eastAsia" w:ascii="宋体" w:hAnsi="宋体" w:cs="Arial"/>
                <w:b/>
                <w:bCs/>
                <w:color w:val="auto"/>
                <w:szCs w:val="21"/>
              </w:rPr>
              <w:t>年营业总值</w:t>
            </w:r>
          </w:p>
        </w:tc>
        <w:tc>
          <w:tcPr>
            <w:tcW w:w="126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Lines="50" w:afterLines="50"/>
              <w:jc w:val="center"/>
              <w:rPr>
                <w:rFonts w:ascii="宋体" w:hAnsi="宋体" w:cs="Arial"/>
                <w:b/>
                <w:bCs/>
                <w:color w:val="auto"/>
                <w:szCs w:val="21"/>
              </w:rPr>
            </w:pPr>
            <w:r>
              <w:rPr>
                <w:rFonts w:hint="eastAsia" w:ascii="宋体" w:hAnsi="宋体" w:cs="Arial"/>
                <w:b/>
                <w:bCs/>
                <w:color w:val="auto"/>
                <w:szCs w:val="21"/>
              </w:rPr>
              <w:t>总净利</w:t>
            </w:r>
          </w:p>
        </w:tc>
        <w:tc>
          <w:tcPr>
            <w:tcW w:w="17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beforeLines="50" w:afterLines="50"/>
              <w:jc w:val="center"/>
              <w:rPr>
                <w:rFonts w:ascii="宋体" w:hAnsi="宋体" w:cs="Arial"/>
                <w:b/>
                <w:bCs/>
                <w:color w:val="auto"/>
                <w:szCs w:val="21"/>
              </w:rPr>
            </w:pPr>
            <w:r>
              <w:rPr>
                <w:rFonts w:hint="eastAsia" w:ascii="宋体" w:hAnsi="宋体" w:cs="Arial"/>
                <w:b/>
                <w:bCs/>
                <w:color w:val="auto"/>
                <w:szCs w:val="21"/>
              </w:rPr>
              <w:t>资产负债率</w:t>
            </w:r>
          </w:p>
        </w:tc>
      </w:tr>
      <w:tr>
        <w:tblPrEx>
          <w:tblLayout w:type="fixed"/>
          <w:tblCellMar>
            <w:top w:w="0" w:type="dxa"/>
            <w:left w:w="30" w:type="dxa"/>
            <w:bottom w:w="0" w:type="dxa"/>
            <w:right w:w="30" w:type="dxa"/>
          </w:tblCellMar>
        </w:tblPrEx>
        <w:trPr>
          <w:trHeight w:val="420" w:hRule="atLeast"/>
          <w:jc w:val="center"/>
        </w:trPr>
        <w:tc>
          <w:tcPr>
            <w:tcW w:w="16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50" w:after="188" w:line="360" w:lineRule="auto"/>
              <w:jc w:val="center"/>
              <w:rPr>
                <w:rFonts w:ascii="宋体" w:hAnsi="宋体" w:cs="Arial"/>
                <w:color w:val="auto"/>
                <w:szCs w:val="21"/>
              </w:rPr>
            </w:pPr>
          </w:p>
        </w:tc>
        <w:tc>
          <w:tcPr>
            <w:tcW w:w="3045"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color w:val="auto"/>
                <w:szCs w:val="21"/>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50" w:after="188" w:line="360" w:lineRule="auto"/>
              <w:jc w:val="center"/>
              <w:rPr>
                <w:rFonts w:ascii="宋体" w:hAnsi="宋体" w:cs="Arial"/>
                <w:color w:val="auto"/>
                <w:szCs w:val="21"/>
              </w:rPr>
            </w:pPr>
          </w:p>
        </w:tc>
        <w:tc>
          <w:tcPr>
            <w:tcW w:w="1785" w:type="dxa"/>
            <w:tcBorders>
              <w:top w:val="single" w:color="auto" w:sz="6" w:space="0"/>
              <w:left w:val="single" w:color="auto" w:sz="6" w:space="0"/>
              <w:bottom w:val="single" w:color="auto" w:sz="6" w:space="0"/>
              <w:right w:val="single" w:color="auto" w:sz="6" w:space="0"/>
            </w:tcBorders>
            <w:vAlign w:val="center"/>
          </w:tcPr>
          <w:p>
            <w:pPr>
              <w:spacing w:before="50" w:after="188" w:line="360" w:lineRule="auto"/>
              <w:jc w:val="center"/>
              <w:rPr>
                <w:rFonts w:ascii="宋体" w:hAnsi="宋体" w:cs="Arial"/>
                <w:color w:val="auto"/>
                <w:szCs w:val="21"/>
              </w:rPr>
            </w:pPr>
          </w:p>
        </w:tc>
      </w:tr>
    </w:tbl>
    <w:p>
      <w:pPr>
        <w:spacing w:beforeLines="50" w:afterLines="50" w:line="360" w:lineRule="auto"/>
        <w:rPr>
          <w:rFonts w:ascii="宋体" w:hAnsi="宋体" w:cs="Arial"/>
          <w:color w:val="auto"/>
        </w:rPr>
      </w:pPr>
      <w:r>
        <w:rPr>
          <w:rFonts w:hint="eastAsia" w:ascii="宋体" w:hAnsi="宋体"/>
          <w:b/>
          <w:color w:val="auto"/>
          <w:szCs w:val="21"/>
        </w:rPr>
        <w:t>注：供应商需提供经审核的财务报表以便验证，如有虚假会导致响应文件无效，如没提供</w:t>
      </w:r>
      <w:r>
        <w:rPr>
          <w:rFonts w:hint="eastAsia" w:ascii="宋体" w:hAnsi="宋体"/>
          <w:b/>
          <w:color w:val="auto"/>
        </w:rPr>
        <w:t>可能</w:t>
      </w:r>
      <w:r>
        <w:rPr>
          <w:rFonts w:hint="eastAsia" w:ascii="宋体" w:hAnsi="宋体"/>
          <w:b/>
          <w:color w:val="auto"/>
          <w:szCs w:val="21"/>
        </w:rPr>
        <w:t>会导致技术商务部分涉及财务情况的评分为0分</w:t>
      </w:r>
      <w:r>
        <w:rPr>
          <w:rFonts w:hint="eastAsia" w:ascii="宋体" w:hAnsi="宋体"/>
          <w:color w:val="auto"/>
          <w:szCs w:val="21"/>
        </w:rPr>
        <w:t>。</w:t>
      </w:r>
    </w:p>
    <w:p>
      <w:pPr>
        <w:spacing w:before="156" w:after="156" w:line="360" w:lineRule="auto"/>
        <w:rPr>
          <w:rFonts w:ascii="宋体" w:hAnsi="宋体"/>
          <w:b/>
          <w:color w:val="auto"/>
        </w:rPr>
      </w:pPr>
      <w:r>
        <w:rPr>
          <w:rFonts w:hint="eastAsia" w:ascii="宋体" w:hAnsi="宋体" w:cs="Arial"/>
          <w:b/>
          <w:color w:val="auto"/>
        </w:rPr>
        <w:t>四、</w:t>
      </w:r>
      <w:r>
        <w:rPr>
          <w:rFonts w:hint="eastAsia" w:ascii="宋体" w:hAnsi="宋体"/>
          <w:b/>
          <w:color w:val="auto"/>
        </w:rPr>
        <w:t>供应商获得的资质和获奖证明文件</w:t>
      </w:r>
    </w:p>
    <w:tbl>
      <w:tblPr>
        <w:tblStyle w:val="3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2421"/>
        <w:gridCol w:w="1926"/>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2421" w:type="dxa"/>
          </w:tcPr>
          <w:p>
            <w:pPr>
              <w:spacing w:before="156" w:after="156" w:line="360" w:lineRule="auto"/>
              <w:jc w:val="center"/>
              <w:rPr>
                <w:rFonts w:ascii="宋体" w:hAnsi="宋体"/>
                <w:b/>
                <w:color w:val="auto"/>
              </w:rPr>
            </w:pPr>
            <w:r>
              <w:rPr>
                <w:rFonts w:hint="eastAsia" w:ascii="宋体" w:hAnsi="宋体"/>
                <w:b/>
                <w:color w:val="auto"/>
              </w:rPr>
              <w:t>证书名称</w:t>
            </w:r>
          </w:p>
        </w:tc>
        <w:tc>
          <w:tcPr>
            <w:tcW w:w="2421" w:type="dxa"/>
          </w:tcPr>
          <w:p>
            <w:pPr>
              <w:spacing w:before="156" w:after="156" w:line="360" w:lineRule="auto"/>
              <w:jc w:val="center"/>
              <w:rPr>
                <w:rFonts w:ascii="宋体" w:hAnsi="宋体"/>
                <w:b/>
                <w:color w:val="auto"/>
              </w:rPr>
            </w:pPr>
            <w:r>
              <w:rPr>
                <w:rFonts w:hint="eastAsia" w:ascii="宋体" w:hAnsi="宋体"/>
                <w:b/>
                <w:color w:val="auto"/>
              </w:rPr>
              <w:t>发证单位</w:t>
            </w:r>
          </w:p>
        </w:tc>
        <w:tc>
          <w:tcPr>
            <w:tcW w:w="1926" w:type="dxa"/>
          </w:tcPr>
          <w:p>
            <w:pPr>
              <w:spacing w:before="156" w:after="156" w:line="360" w:lineRule="auto"/>
              <w:jc w:val="center"/>
              <w:rPr>
                <w:rFonts w:ascii="宋体" w:hAnsi="宋体"/>
                <w:b/>
                <w:color w:val="auto"/>
              </w:rPr>
            </w:pPr>
            <w:r>
              <w:rPr>
                <w:rFonts w:hint="eastAsia" w:ascii="宋体" w:hAnsi="宋体"/>
                <w:b/>
                <w:color w:val="auto"/>
              </w:rPr>
              <w:t>证书等级</w:t>
            </w:r>
          </w:p>
        </w:tc>
        <w:tc>
          <w:tcPr>
            <w:tcW w:w="1800" w:type="dxa"/>
          </w:tcPr>
          <w:p>
            <w:pPr>
              <w:spacing w:before="156" w:after="156" w:line="360" w:lineRule="auto"/>
              <w:jc w:val="center"/>
              <w:rPr>
                <w:rFonts w:ascii="宋体" w:hAnsi="宋体"/>
                <w:b/>
                <w:color w:val="auto"/>
              </w:rPr>
            </w:pPr>
            <w:r>
              <w:rPr>
                <w:rFonts w:hint="eastAsia" w:ascii="宋体" w:hAnsi="宋体"/>
                <w:b/>
                <w:color w:val="auto"/>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1" w:type="dxa"/>
          </w:tcPr>
          <w:p>
            <w:pPr>
              <w:spacing w:before="156" w:after="156" w:line="360" w:lineRule="auto"/>
              <w:rPr>
                <w:rFonts w:ascii="宋体" w:hAnsi="宋体"/>
                <w:color w:val="auto"/>
              </w:rPr>
            </w:pPr>
          </w:p>
        </w:tc>
        <w:tc>
          <w:tcPr>
            <w:tcW w:w="2421" w:type="dxa"/>
          </w:tcPr>
          <w:p>
            <w:pPr>
              <w:spacing w:before="156" w:after="156" w:line="360" w:lineRule="auto"/>
              <w:rPr>
                <w:rFonts w:ascii="宋体" w:hAnsi="宋体"/>
                <w:color w:val="auto"/>
              </w:rPr>
            </w:pPr>
          </w:p>
        </w:tc>
        <w:tc>
          <w:tcPr>
            <w:tcW w:w="1926" w:type="dxa"/>
          </w:tcPr>
          <w:p>
            <w:pPr>
              <w:spacing w:before="156" w:after="156" w:line="360" w:lineRule="auto"/>
              <w:rPr>
                <w:rFonts w:ascii="宋体" w:hAnsi="宋体"/>
                <w:color w:val="auto"/>
              </w:rPr>
            </w:pPr>
          </w:p>
        </w:tc>
        <w:tc>
          <w:tcPr>
            <w:tcW w:w="1800" w:type="dxa"/>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1" w:type="dxa"/>
          </w:tcPr>
          <w:p>
            <w:pPr>
              <w:spacing w:before="156" w:after="156" w:line="360" w:lineRule="auto"/>
              <w:rPr>
                <w:rFonts w:ascii="宋体" w:hAnsi="宋体"/>
                <w:color w:val="auto"/>
              </w:rPr>
            </w:pPr>
          </w:p>
        </w:tc>
        <w:tc>
          <w:tcPr>
            <w:tcW w:w="2421" w:type="dxa"/>
          </w:tcPr>
          <w:p>
            <w:pPr>
              <w:spacing w:before="156" w:after="156" w:line="360" w:lineRule="auto"/>
              <w:rPr>
                <w:rFonts w:ascii="宋体" w:hAnsi="宋体"/>
                <w:color w:val="auto"/>
              </w:rPr>
            </w:pPr>
          </w:p>
        </w:tc>
        <w:tc>
          <w:tcPr>
            <w:tcW w:w="1926" w:type="dxa"/>
          </w:tcPr>
          <w:p>
            <w:pPr>
              <w:spacing w:before="156" w:after="156" w:line="360" w:lineRule="auto"/>
              <w:rPr>
                <w:rFonts w:ascii="宋体" w:hAnsi="宋体"/>
                <w:color w:val="auto"/>
              </w:rPr>
            </w:pPr>
          </w:p>
        </w:tc>
        <w:tc>
          <w:tcPr>
            <w:tcW w:w="1800" w:type="dxa"/>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21" w:type="dxa"/>
          </w:tcPr>
          <w:p>
            <w:pPr>
              <w:spacing w:before="156" w:after="156" w:line="360" w:lineRule="auto"/>
              <w:rPr>
                <w:rFonts w:ascii="宋体" w:hAnsi="宋体"/>
                <w:color w:val="auto"/>
              </w:rPr>
            </w:pPr>
          </w:p>
        </w:tc>
        <w:tc>
          <w:tcPr>
            <w:tcW w:w="2421" w:type="dxa"/>
          </w:tcPr>
          <w:p>
            <w:pPr>
              <w:spacing w:before="156" w:after="156" w:line="360" w:lineRule="auto"/>
              <w:rPr>
                <w:rFonts w:ascii="宋体" w:hAnsi="宋体"/>
                <w:color w:val="auto"/>
              </w:rPr>
            </w:pPr>
          </w:p>
        </w:tc>
        <w:tc>
          <w:tcPr>
            <w:tcW w:w="1926" w:type="dxa"/>
          </w:tcPr>
          <w:p>
            <w:pPr>
              <w:spacing w:before="156" w:after="156" w:line="360" w:lineRule="auto"/>
              <w:rPr>
                <w:rFonts w:ascii="宋体" w:hAnsi="宋体"/>
                <w:color w:val="auto"/>
              </w:rPr>
            </w:pPr>
          </w:p>
        </w:tc>
        <w:tc>
          <w:tcPr>
            <w:tcW w:w="1800" w:type="dxa"/>
          </w:tcPr>
          <w:p>
            <w:pPr>
              <w:spacing w:before="156" w:after="156" w:line="360" w:lineRule="auto"/>
              <w:rPr>
                <w:rFonts w:ascii="宋体" w:hAnsi="宋体"/>
                <w:color w:val="auto"/>
              </w:rPr>
            </w:pPr>
          </w:p>
        </w:tc>
      </w:tr>
    </w:tbl>
    <w:p>
      <w:pPr>
        <w:spacing w:before="156" w:after="156" w:line="360" w:lineRule="auto"/>
        <w:rPr>
          <w:rFonts w:ascii="宋体" w:hAnsi="宋体"/>
          <w:color w:val="auto"/>
        </w:rPr>
      </w:pPr>
      <w:r>
        <w:rPr>
          <w:rFonts w:hint="eastAsia" w:ascii="宋体" w:hAnsi="宋体"/>
          <w:color w:val="auto"/>
        </w:rPr>
        <w:t>所有证明文件需提供复印件（加盖公章）</w:t>
      </w:r>
    </w:p>
    <w:p>
      <w:pPr>
        <w:spacing w:before="156" w:after="156" w:line="360" w:lineRule="auto"/>
        <w:rPr>
          <w:rFonts w:ascii="宋体" w:hAnsi="宋体" w:cs="Arial"/>
          <w:b/>
          <w:color w:val="auto"/>
        </w:rPr>
      </w:pPr>
      <w:r>
        <w:rPr>
          <w:rFonts w:hint="eastAsia" w:ascii="宋体" w:hAnsi="宋体" w:cs="Arial"/>
          <w:b/>
          <w:color w:val="auto"/>
        </w:rPr>
        <w:t>五、其他</w:t>
      </w:r>
    </w:p>
    <w:p>
      <w:pPr>
        <w:spacing w:before="156" w:after="156" w:line="360" w:lineRule="auto"/>
        <w:rPr>
          <w:rFonts w:ascii="宋体" w:hAnsi="宋体"/>
          <w:color w:val="auto"/>
          <w:szCs w:val="21"/>
        </w:rPr>
      </w:pPr>
      <w:r>
        <w:rPr>
          <w:rFonts w:hint="eastAsia" w:ascii="宋体" w:hAnsi="宋体"/>
          <w:color w:val="auto"/>
          <w:szCs w:val="21"/>
        </w:rPr>
        <w:t>1、</w:t>
      </w:r>
      <w:r>
        <w:rPr>
          <w:rFonts w:hint="eastAsia" w:ascii="宋体" w:hAnsi="宋体" w:cs="宋体"/>
          <w:color w:val="auto"/>
          <w:szCs w:val="21"/>
        </w:rPr>
        <w:t>参加政府采购活动前三年内，在经营活动中的重大违法记录</w:t>
      </w:r>
      <w:r>
        <w:rPr>
          <w:rFonts w:hint="eastAsia" w:ascii="宋体" w:hAnsi="宋体"/>
          <w:color w:val="auto"/>
          <w:szCs w:val="21"/>
        </w:rPr>
        <w:t>（须如实填写，若对此进行隐瞒，尔后又被采购人或</w:t>
      </w:r>
      <w:r>
        <w:rPr>
          <w:rFonts w:hint="eastAsia" w:ascii="宋体" w:hAnsi="宋体" w:cs="宋体"/>
          <w:color w:val="auto"/>
          <w:szCs w:val="21"/>
        </w:rPr>
        <w:t>采购代理机构</w:t>
      </w:r>
      <w:r>
        <w:rPr>
          <w:rFonts w:hint="eastAsia" w:ascii="宋体" w:hAnsi="宋体"/>
          <w:color w:val="auto"/>
          <w:szCs w:val="21"/>
        </w:rPr>
        <w:t>发现，或被它人举证成立，其磋商资格将被取消）。</w:t>
      </w:r>
    </w:p>
    <w:tbl>
      <w:tblPr>
        <w:tblStyle w:val="37"/>
        <w:tblW w:w="94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277"/>
        <w:gridCol w:w="3240"/>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0" w:hRule="atLeast"/>
          <w:jc w:val="center"/>
        </w:trPr>
        <w:tc>
          <w:tcPr>
            <w:tcW w:w="1368" w:type="dxa"/>
            <w:vAlign w:val="center"/>
          </w:tcPr>
          <w:p>
            <w:pPr>
              <w:pStyle w:val="7"/>
              <w:ind w:left="1" w:firstLine="0"/>
              <w:jc w:val="center"/>
              <w:rPr>
                <w:rFonts w:ascii="宋体" w:hAnsi="宋体"/>
                <w:b/>
                <w:color w:val="auto"/>
                <w:szCs w:val="21"/>
              </w:rPr>
            </w:pPr>
            <w:r>
              <w:rPr>
                <w:rFonts w:hint="eastAsia" w:ascii="宋体" w:hAnsi="宋体"/>
                <w:b/>
                <w:color w:val="auto"/>
                <w:szCs w:val="21"/>
              </w:rPr>
              <w:t>时 间</w:t>
            </w:r>
          </w:p>
        </w:tc>
        <w:tc>
          <w:tcPr>
            <w:tcW w:w="3277" w:type="dxa"/>
            <w:vAlign w:val="center"/>
          </w:tcPr>
          <w:p>
            <w:pPr>
              <w:pStyle w:val="7"/>
              <w:jc w:val="center"/>
              <w:rPr>
                <w:rFonts w:ascii="宋体" w:hAnsi="宋体"/>
                <w:b/>
                <w:color w:val="auto"/>
                <w:szCs w:val="21"/>
              </w:rPr>
            </w:pPr>
            <w:r>
              <w:rPr>
                <w:rFonts w:hint="eastAsia" w:ascii="宋体" w:hAnsi="宋体"/>
                <w:b/>
                <w:color w:val="auto"/>
                <w:szCs w:val="21"/>
              </w:rPr>
              <w:t>受处理的原因</w:t>
            </w:r>
          </w:p>
          <w:p>
            <w:pPr>
              <w:pStyle w:val="7"/>
              <w:ind w:firstLine="0"/>
              <w:jc w:val="center"/>
              <w:rPr>
                <w:rFonts w:ascii="宋体" w:hAnsi="宋体"/>
                <w:color w:val="auto"/>
                <w:szCs w:val="21"/>
              </w:rPr>
            </w:pPr>
            <w:r>
              <w:rPr>
                <w:rFonts w:hint="eastAsia" w:ascii="宋体" w:hAnsi="宋体"/>
                <w:color w:val="auto"/>
                <w:szCs w:val="21"/>
              </w:rPr>
              <w:t>（注明采购项目名称及处理原因）</w:t>
            </w:r>
          </w:p>
        </w:tc>
        <w:tc>
          <w:tcPr>
            <w:tcW w:w="3240" w:type="dxa"/>
            <w:vAlign w:val="center"/>
          </w:tcPr>
          <w:p>
            <w:pPr>
              <w:pStyle w:val="7"/>
              <w:ind w:firstLine="422"/>
              <w:jc w:val="center"/>
              <w:rPr>
                <w:rFonts w:ascii="宋体" w:hAnsi="宋体"/>
                <w:b/>
                <w:color w:val="auto"/>
                <w:szCs w:val="21"/>
              </w:rPr>
            </w:pPr>
            <w:r>
              <w:rPr>
                <w:rFonts w:hint="eastAsia" w:ascii="宋体" w:hAnsi="宋体"/>
                <w:b/>
                <w:color w:val="auto"/>
                <w:szCs w:val="21"/>
              </w:rPr>
              <w:t>处理的内容</w:t>
            </w:r>
          </w:p>
          <w:p>
            <w:pPr>
              <w:pStyle w:val="7"/>
              <w:ind w:firstLine="0"/>
              <w:jc w:val="center"/>
              <w:rPr>
                <w:rFonts w:ascii="宋体" w:hAnsi="宋体"/>
                <w:color w:val="auto"/>
                <w:szCs w:val="21"/>
              </w:rPr>
            </w:pPr>
            <w:r>
              <w:rPr>
                <w:rFonts w:hint="eastAsia" w:ascii="宋体" w:hAnsi="宋体"/>
                <w:color w:val="auto"/>
                <w:szCs w:val="21"/>
              </w:rPr>
              <w:t>（如受到禁止一段时期参加全国范围内某种项目的采购活动的，同时说明解禁时间）</w:t>
            </w:r>
          </w:p>
        </w:tc>
        <w:tc>
          <w:tcPr>
            <w:tcW w:w="1547" w:type="dxa"/>
            <w:vAlign w:val="center"/>
          </w:tcPr>
          <w:p>
            <w:pPr>
              <w:pStyle w:val="7"/>
              <w:ind w:firstLine="0"/>
              <w:jc w:val="center"/>
              <w:rPr>
                <w:rFonts w:ascii="宋体" w:hAnsi="宋体"/>
                <w:b/>
                <w:color w:val="auto"/>
                <w:szCs w:val="21"/>
              </w:rPr>
            </w:pPr>
            <w:r>
              <w:rPr>
                <w:rFonts w:hint="eastAsia" w:ascii="宋体" w:hAnsi="宋体"/>
                <w:b/>
                <w:color w:val="auto"/>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jc w:val="center"/>
        </w:trPr>
        <w:tc>
          <w:tcPr>
            <w:tcW w:w="1368" w:type="dxa"/>
            <w:vAlign w:val="center"/>
          </w:tcPr>
          <w:p>
            <w:pPr>
              <w:pStyle w:val="7"/>
              <w:jc w:val="center"/>
              <w:rPr>
                <w:rFonts w:ascii="宋体" w:hAnsi="宋体"/>
                <w:color w:val="auto"/>
                <w:szCs w:val="21"/>
              </w:rPr>
            </w:pPr>
          </w:p>
        </w:tc>
        <w:tc>
          <w:tcPr>
            <w:tcW w:w="3277" w:type="dxa"/>
            <w:vAlign w:val="center"/>
          </w:tcPr>
          <w:p>
            <w:pPr>
              <w:pStyle w:val="7"/>
              <w:jc w:val="center"/>
              <w:rPr>
                <w:rFonts w:ascii="宋体" w:hAnsi="宋体"/>
                <w:color w:val="auto"/>
                <w:szCs w:val="21"/>
              </w:rPr>
            </w:pPr>
          </w:p>
        </w:tc>
        <w:tc>
          <w:tcPr>
            <w:tcW w:w="3240" w:type="dxa"/>
            <w:vAlign w:val="center"/>
          </w:tcPr>
          <w:p>
            <w:pPr>
              <w:pStyle w:val="7"/>
              <w:jc w:val="center"/>
              <w:rPr>
                <w:rFonts w:ascii="宋体" w:hAnsi="宋体"/>
                <w:color w:val="auto"/>
                <w:szCs w:val="21"/>
              </w:rPr>
            </w:pPr>
          </w:p>
        </w:tc>
        <w:tc>
          <w:tcPr>
            <w:tcW w:w="1547" w:type="dxa"/>
            <w:vAlign w:val="center"/>
          </w:tcPr>
          <w:p>
            <w:pPr>
              <w:pStyle w:val="7"/>
              <w:jc w:val="center"/>
              <w:rPr>
                <w:rFonts w:ascii="宋体" w:hAnsi="宋体"/>
                <w:color w:val="auto"/>
                <w:szCs w:val="21"/>
              </w:rPr>
            </w:pPr>
          </w:p>
        </w:tc>
      </w:tr>
    </w:tbl>
    <w:p>
      <w:pPr>
        <w:pStyle w:val="7"/>
        <w:spacing w:line="360" w:lineRule="auto"/>
        <w:ind w:firstLine="0"/>
        <w:rPr>
          <w:rFonts w:ascii="宋体" w:hAnsi="宋体"/>
          <w:color w:val="auto"/>
          <w:szCs w:val="21"/>
        </w:rPr>
      </w:pPr>
      <w:r>
        <w:rPr>
          <w:rFonts w:hint="eastAsia" w:ascii="宋体" w:hAnsi="宋体"/>
          <w:color w:val="auto"/>
          <w:szCs w:val="21"/>
        </w:rPr>
        <w:t>2、其他供应商认为有必要提供的其他证明有关技术、资金实力的资质材料，所有证明文件需提供复印件（加盖公章）</w:t>
      </w:r>
    </w:p>
    <w:p>
      <w:pPr>
        <w:spacing w:beforeLines="50" w:afterLines="50" w:line="360" w:lineRule="auto"/>
        <w:rPr>
          <w:rFonts w:ascii="宋体" w:hAnsi="宋体" w:cs="Arial"/>
          <w:color w:val="auto"/>
        </w:rPr>
      </w:pPr>
      <w:r>
        <w:rPr>
          <w:rFonts w:ascii="宋体" w:hAnsi="宋体" w:cs="Arial"/>
          <w:color w:val="auto"/>
        </w:rPr>
        <w:pict>
          <v:rect id="矩形 19" o:spid="_x0000_s1030" o:spt="1" style="position:absolute;left:0pt;margin-left:225.8pt;margin-top:23.65pt;height:62.15pt;width:102.25pt;z-index:-251655168;mso-width-relative:page;mso-height-relative:page;" coordsize="21600,21600">
            <v:path/>
            <v:fill focussize="0,0"/>
            <v:stroke/>
            <v:imagedata o:title=""/>
            <o:lock v:ext="edit"/>
          </v:rect>
        </w:pict>
      </w:r>
      <w:r>
        <w:rPr>
          <w:rFonts w:ascii="宋体" w:hAnsi="宋体" w:cs="Arial"/>
          <w:color w:val="auto"/>
        </w:rPr>
        <w:pict>
          <v:rect id="矩形 18" o:spid="_x0000_s1031" o:spt="1" style="position:absolute;left:0pt;margin-left:66.05pt;margin-top:25.15pt;height:62.15pt;width:124.75pt;z-index:-251656192;mso-width-relative:page;mso-height-relative:page;" coordsize="21600,21600">
            <v:path/>
            <v:fill focussize="0,0"/>
            <v:stroke/>
            <v:imagedata o:title=""/>
            <o:lock v:ext="edit"/>
          </v:rect>
        </w:pict>
      </w:r>
    </w:p>
    <w:p>
      <w:pPr>
        <w:spacing w:beforeLines="50" w:afterLines="50" w:line="360" w:lineRule="auto"/>
        <w:rPr>
          <w:rFonts w:ascii="宋体" w:hAnsi="宋体" w:cs="Arial"/>
          <w:color w:val="auto"/>
        </w:rPr>
      </w:pPr>
      <w:r>
        <w:rPr>
          <w:rFonts w:hint="eastAsia" w:ascii="宋体" w:hAnsi="宋体" w:cs="Arial"/>
          <w:color w:val="auto"/>
        </w:rPr>
        <w:t xml:space="preserve">              供应商标记样本（logo）         供应商公章样本                                    </w:t>
      </w:r>
    </w:p>
    <w:p>
      <w:pPr>
        <w:spacing w:beforeLines="50" w:afterLines="50" w:line="360" w:lineRule="auto"/>
        <w:rPr>
          <w:rFonts w:ascii="宋体" w:hAnsi="宋体" w:cs="Arial"/>
          <w:color w:val="auto"/>
        </w:rPr>
      </w:pPr>
    </w:p>
    <w:p>
      <w:pPr>
        <w:spacing w:beforeLines="50" w:afterLines="50" w:line="360" w:lineRule="auto"/>
        <w:ind w:firstLine="570"/>
        <w:rPr>
          <w:rFonts w:ascii="宋体" w:hAnsi="宋体" w:cs="Arial"/>
          <w:color w:val="auto"/>
        </w:rPr>
      </w:pPr>
      <w:r>
        <w:rPr>
          <w:rFonts w:hint="eastAsia" w:ascii="宋体" w:hAnsi="宋体" w:cs="Arial"/>
          <w:color w:val="auto"/>
        </w:rPr>
        <w:t xml:space="preserve">我/我们声明以上所述是正确无误的，您有权进行您认为必要的所有调查。      </w:t>
      </w:r>
    </w:p>
    <w:p>
      <w:pPr>
        <w:spacing w:beforeLines="50" w:afterLines="50" w:line="360" w:lineRule="auto"/>
        <w:ind w:firstLine="570"/>
        <w:rPr>
          <w:rFonts w:ascii="宋体" w:hAnsi="宋体" w:cs="Arial"/>
          <w:color w:val="auto"/>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供应商名称(并加盖公章)：</w:t>
      </w:r>
    </w:p>
    <w:p>
      <w:pPr>
        <w:widowControl/>
        <w:tabs>
          <w:tab w:val="left" w:pos="2977"/>
        </w:tabs>
        <w:autoSpaceDE w:val="0"/>
        <w:autoSpaceDN w:val="0"/>
        <w:spacing w:line="360" w:lineRule="auto"/>
        <w:ind w:right="893"/>
        <w:textAlignment w:val="bottom"/>
        <w:rPr>
          <w:rFonts w:ascii="宋体" w:hAnsi="宋体"/>
          <w:color w:val="auto"/>
        </w:rPr>
      </w:pPr>
      <w:r>
        <w:rPr>
          <w:rFonts w:hint="eastAsia" w:ascii="宋体" w:hAnsi="宋体" w:cs="Arial"/>
          <w:color w:val="auto"/>
        </w:rPr>
        <w:t>供应商法定代表人或其委托人签名或印鉴：</w:t>
      </w:r>
    </w:p>
    <w:p>
      <w:pPr>
        <w:widowControl/>
        <w:tabs>
          <w:tab w:val="left" w:pos="2977"/>
        </w:tabs>
        <w:autoSpaceDE w:val="0"/>
        <w:autoSpaceDN w:val="0"/>
        <w:spacing w:line="360" w:lineRule="auto"/>
        <w:ind w:right="893"/>
        <w:textAlignment w:val="bottom"/>
        <w:rPr>
          <w:rFonts w:ascii="宋体" w:hAnsi="宋体"/>
          <w:color w:val="auto"/>
        </w:rPr>
      </w:pPr>
      <w:r>
        <w:rPr>
          <w:rFonts w:hint="eastAsia" w:ascii="宋体" w:hAnsi="宋体"/>
          <w:color w:val="auto"/>
        </w:rPr>
        <w:t>日期：</w:t>
      </w:r>
    </w:p>
    <w:p>
      <w:pPr>
        <w:pStyle w:val="4"/>
        <w:keepNext w:val="0"/>
        <w:keepLines w:val="0"/>
        <w:numPr>
          <w:ilvl w:val="1"/>
          <w:numId w:val="35"/>
        </w:numPr>
        <w:tabs>
          <w:tab w:val="left" w:pos="567"/>
        </w:tabs>
        <w:jc w:val="center"/>
        <w:rPr>
          <w:rFonts w:hAnsi="宋体" w:cs="Arial"/>
          <w:color w:val="auto"/>
          <w:sz w:val="28"/>
        </w:rPr>
      </w:pPr>
      <w:r>
        <w:rPr>
          <w:rFonts w:hint="eastAsia" w:hAnsi="宋体"/>
          <w:color w:val="auto"/>
        </w:rPr>
        <w:br w:type="page"/>
      </w:r>
      <w:bookmarkStart w:id="398" w:name="_Toc108587463"/>
      <w:bookmarkStart w:id="399" w:name="_Toc18935144"/>
      <w:bookmarkStart w:id="400" w:name="_Toc24162"/>
      <w:bookmarkStart w:id="401" w:name="_Toc307826691"/>
      <w:bookmarkStart w:id="402" w:name="_Toc13873"/>
      <w:bookmarkStart w:id="403" w:name="_Toc307826062"/>
      <w:bookmarkStart w:id="404" w:name="_Toc22843"/>
      <w:bookmarkStart w:id="405" w:name="_Toc10598"/>
      <w:bookmarkStart w:id="406" w:name="_Toc108597132"/>
      <w:bookmarkStart w:id="407" w:name="_Toc18935002"/>
      <w:bookmarkStart w:id="408" w:name="_Toc105839197"/>
      <w:bookmarkStart w:id="409" w:name="_Toc37486866"/>
      <w:bookmarkStart w:id="410" w:name="_Toc15378"/>
      <w:bookmarkStart w:id="411" w:name="_Toc27932"/>
      <w:bookmarkStart w:id="412" w:name="_Toc469663703"/>
      <w:bookmarkStart w:id="413" w:name="_Toc536777266"/>
      <w:bookmarkStart w:id="414" w:name="_Toc52423757"/>
      <w:bookmarkStart w:id="415" w:name="_Toc518605390"/>
      <w:bookmarkStart w:id="416" w:name="_Toc12118381"/>
      <w:bookmarkStart w:id="417" w:name="_Toc535633948"/>
      <w:r>
        <w:rPr>
          <w:rFonts w:hint="eastAsia" w:hAnsi="宋体"/>
          <w:color w:val="auto"/>
          <w:sz w:val="21"/>
          <w:szCs w:val="21"/>
        </w:rPr>
        <w:t>项目经理/项目负责人简历表</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tbl>
      <w:tblPr>
        <w:tblStyle w:val="37"/>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52"/>
        <w:gridCol w:w="480"/>
        <w:gridCol w:w="806"/>
        <w:gridCol w:w="651"/>
        <w:gridCol w:w="552"/>
        <w:gridCol w:w="1392"/>
        <w:gridCol w:w="633"/>
        <w:gridCol w:w="854"/>
        <w:gridCol w:w="179"/>
        <w:gridCol w:w="415"/>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7" w:type="dxa"/>
          </w:tcPr>
          <w:p>
            <w:pPr>
              <w:spacing w:before="156" w:after="156" w:line="360" w:lineRule="auto"/>
              <w:rPr>
                <w:rFonts w:ascii="宋体" w:hAnsi="宋体"/>
                <w:color w:val="auto"/>
              </w:rPr>
            </w:pPr>
            <w:r>
              <w:rPr>
                <w:rFonts w:hint="eastAsia" w:ascii="宋体" w:hAnsi="宋体"/>
                <w:color w:val="auto"/>
              </w:rPr>
              <w:t>姓名</w:t>
            </w:r>
          </w:p>
        </w:tc>
        <w:tc>
          <w:tcPr>
            <w:tcW w:w="2038" w:type="dxa"/>
            <w:gridSpan w:val="3"/>
          </w:tcPr>
          <w:p>
            <w:pPr>
              <w:spacing w:before="156" w:after="156" w:line="360" w:lineRule="auto"/>
              <w:rPr>
                <w:rFonts w:ascii="宋体" w:hAnsi="宋体"/>
                <w:color w:val="auto"/>
              </w:rPr>
            </w:pPr>
          </w:p>
        </w:tc>
        <w:tc>
          <w:tcPr>
            <w:tcW w:w="1203" w:type="dxa"/>
            <w:gridSpan w:val="2"/>
          </w:tcPr>
          <w:p>
            <w:pPr>
              <w:spacing w:before="156" w:after="156" w:line="360" w:lineRule="auto"/>
              <w:rPr>
                <w:rFonts w:ascii="宋体" w:hAnsi="宋体"/>
                <w:color w:val="auto"/>
              </w:rPr>
            </w:pPr>
            <w:r>
              <w:rPr>
                <w:rFonts w:hint="eastAsia" w:ascii="宋体" w:hAnsi="宋体"/>
                <w:color w:val="auto"/>
              </w:rPr>
              <w:t>性别</w:t>
            </w:r>
          </w:p>
        </w:tc>
        <w:tc>
          <w:tcPr>
            <w:tcW w:w="2025" w:type="dxa"/>
            <w:gridSpan w:val="2"/>
          </w:tcPr>
          <w:p>
            <w:pPr>
              <w:spacing w:before="156" w:after="156" w:line="360" w:lineRule="auto"/>
              <w:rPr>
                <w:rFonts w:ascii="宋体" w:hAnsi="宋体"/>
                <w:color w:val="auto"/>
              </w:rPr>
            </w:pPr>
          </w:p>
        </w:tc>
        <w:tc>
          <w:tcPr>
            <w:tcW w:w="1448" w:type="dxa"/>
            <w:gridSpan w:val="3"/>
          </w:tcPr>
          <w:p>
            <w:pPr>
              <w:spacing w:before="156" w:after="156" w:line="360" w:lineRule="auto"/>
              <w:rPr>
                <w:rFonts w:ascii="宋体" w:hAnsi="宋体"/>
                <w:color w:val="auto"/>
              </w:rPr>
            </w:pPr>
            <w:r>
              <w:rPr>
                <w:rFonts w:hint="eastAsia" w:ascii="宋体" w:hAnsi="宋体"/>
                <w:color w:val="auto"/>
              </w:rPr>
              <w:t>年龄</w:t>
            </w:r>
          </w:p>
        </w:tc>
        <w:tc>
          <w:tcPr>
            <w:tcW w:w="1027" w:type="dxa"/>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7" w:type="dxa"/>
          </w:tcPr>
          <w:p>
            <w:pPr>
              <w:spacing w:before="156" w:after="156" w:line="360" w:lineRule="auto"/>
              <w:rPr>
                <w:rFonts w:ascii="宋体" w:hAnsi="宋体"/>
                <w:color w:val="auto"/>
              </w:rPr>
            </w:pPr>
            <w:r>
              <w:rPr>
                <w:rFonts w:hint="eastAsia" w:ascii="宋体" w:hAnsi="宋体"/>
                <w:color w:val="auto"/>
              </w:rPr>
              <w:t>职务</w:t>
            </w:r>
          </w:p>
        </w:tc>
        <w:tc>
          <w:tcPr>
            <w:tcW w:w="2038" w:type="dxa"/>
            <w:gridSpan w:val="3"/>
          </w:tcPr>
          <w:p>
            <w:pPr>
              <w:spacing w:before="156" w:after="156" w:line="360" w:lineRule="auto"/>
              <w:rPr>
                <w:rFonts w:ascii="宋体" w:hAnsi="宋体"/>
                <w:color w:val="auto"/>
              </w:rPr>
            </w:pPr>
          </w:p>
        </w:tc>
        <w:tc>
          <w:tcPr>
            <w:tcW w:w="1203" w:type="dxa"/>
            <w:gridSpan w:val="2"/>
          </w:tcPr>
          <w:p>
            <w:pPr>
              <w:spacing w:before="156" w:after="156" w:line="360" w:lineRule="auto"/>
              <w:rPr>
                <w:rFonts w:ascii="宋体" w:hAnsi="宋体"/>
                <w:color w:val="auto"/>
              </w:rPr>
            </w:pPr>
            <w:r>
              <w:rPr>
                <w:rFonts w:hint="eastAsia" w:ascii="宋体" w:hAnsi="宋体"/>
                <w:color w:val="auto"/>
              </w:rPr>
              <w:t>职称</w:t>
            </w:r>
          </w:p>
        </w:tc>
        <w:tc>
          <w:tcPr>
            <w:tcW w:w="2025" w:type="dxa"/>
            <w:gridSpan w:val="2"/>
          </w:tcPr>
          <w:p>
            <w:pPr>
              <w:spacing w:before="156" w:after="156" w:line="360" w:lineRule="auto"/>
              <w:rPr>
                <w:rFonts w:ascii="宋体" w:hAnsi="宋体"/>
                <w:color w:val="auto"/>
              </w:rPr>
            </w:pPr>
          </w:p>
        </w:tc>
        <w:tc>
          <w:tcPr>
            <w:tcW w:w="1448" w:type="dxa"/>
            <w:gridSpan w:val="3"/>
          </w:tcPr>
          <w:p>
            <w:pPr>
              <w:spacing w:before="156" w:after="156" w:line="360" w:lineRule="auto"/>
              <w:rPr>
                <w:rFonts w:ascii="宋体" w:hAnsi="宋体"/>
                <w:color w:val="auto"/>
              </w:rPr>
            </w:pPr>
            <w:r>
              <w:rPr>
                <w:rFonts w:hint="eastAsia" w:ascii="宋体" w:hAnsi="宋体"/>
                <w:color w:val="auto"/>
              </w:rPr>
              <w:t>学历</w:t>
            </w:r>
          </w:p>
        </w:tc>
        <w:tc>
          <w:tcPr>
            <w:tcW w:w="1027" w:type="dxa"/>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7" w:type="dxa"/>
          </w:tcPr>
          <w:p>
            <w:pPr>
              <w:spacing w:before="156" w:after="156" w:line="360" w:lineRule="auto"/>
              <w:rPr>
                <w:rFonts w:ascii="宋体" w:hAnsi="宋体"/>
                <w:color w:val="auto"/>
              </w:rPr>
            </w:pPr>
            <w:r>
              <w:rPr>
                <w:rFonts w:hint="eastAsia" w:ascii="宋体" w:hAnsi="宋体"/>
                <w:color w:val="auto"/>
              </w:rPr>
              <w:t>办公电话</w:t>
            </w:r>
          </w:p>
        </w:tc>
        <w:tc>
          <w:tcPr>
            <w:tcW w:w="2038" w:type="dxa"/>
            <w:gridSpan w:val="3"/>
          </w:tcPr>
          <w:p>
            <w:pPr>
              <w:spacing w:before="156" w:after="156" w:line="360" w:lineRule="auto"/>
              <w:rPr>
                <w:rFonts w:ascii="宋体" w:hAnsi="宋体"/>
                <w:color w:val="auto"/>
              </w:rPr>
            </w:pPr>
          </w:p>
        </w:tc>
        <w:tc>
          <w:tcPr>
            <w:tcW w:w="1203" w:type="dxa"/>
            <w:gridSpan w:val="2"/>
          </w:tcPr>
          <w:p>
            <w:pPr>
              <w:spacing w:before="156" w:after="156" w:line="360" w:lineRule="auto"/>
              <w:rPr>
                <w:rFonts w:ascii="宋体" w:hAnsi="宋体"/>
                <w:color w:val="auto"/>
              </w:rPr>
            </w:pPr>
            <w:r>
              <w:rPr>
                <w:rFonts w:hint="eastAsia" w:ascii="宋体" w:hAnsi="宋体"/>
                <w:color w:val="auto"/>
              </w:rPr>
              <w:t>住宅电话</w:t>
            </w:r>
          </w:p>
        </w:tc>
        <w:tc>
          <w:tcPr>
            <w:tcW w:w="2025" w:type="dxa"/>
            <w:gridSpan w:val="2"/>
          </w:tcPr>
          <w:p>
            <w:pPr>
              <w:spacing w:before="156" w:after="156" w:line="360" w:lineRule="auto"/>
              <w:rPr>
                <w:rFonts w:ascii="宋体" w:hAnsi="宋体"/>
                <w:color w:val="auto"/>
              </w:rPr>
            </w:pPr>
          </w:p>
        </w:tc>
        <w:tc>
          <w:tcPr>
            <w:tcW w:w="1448" w:type="dxa"/>
            <w:gridSpan w:val="3"/>
          </w:tcPr>
          <w:p>
            <w:pPr>
              <w:spacing w:before="156" w:after="156" w:line="360" w:lineRule="auto"/>
              <w:rPr>
                <w:rFonts w:ascii="宋体" w:hAnsi="宋体"/>
                <w:color w:val="auto"/>
              </w:rPr>
            </w:pPr>
            <w:r>
              <w:rPr>
                <w:rFonts w:hint="eastAsia" w:ascii="宋体" w:hAnsi="宋体"/>
                <w:color w:val="auto"/>
              </w:rPr>
              <w:t>移动电话</w:t>
            </w:r>
          </w:p>
        </w:tc>
        <w:tc>
          <w:tcPr>
            <w:tcW w:w="1027" w:type="dxa"/>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9" w:type="dxa"/>
            <w:gridSpan w:val="3"/>
          </w:tcPr>
          <w:p>
            <w:pPr>
              <w:spacing w:before="156" w:after="156" w:line="360" w:lineRule="auto"/>
              <w:rPr>
                <w:rFonts w:ascii="宋体" w:hAnsi="宋体"/>
                <w:color w:val="auto"/>
              </w:rPr>
            </w:pPr>
            <w:r>
              <w:rPr>
                <w:rFonts w:hint="eastAsia" w:ascii="宋体" w:hAnsi="宋体"/>
                <w:color w:val="auto"/>
              </w:rPr>
              <w:t>参加工作时间</w:t>
            </w:r>
          </w:p>
        </w:tc>
        <w:tc>
          <w:tcPr>
            <w:tcW w:w="2009" w:type="dxa"/>
            <w:gridSpan w:val="3"/>
          </w:tcPr>
          <w:p>
            <w:pPr>
              <w:spacing w:before="156" w:after="156" w:line="360" w:lineRule="auto"/>
              <w:rPr>
                <w:rFonts w:ascii="宋体" w:hAnsi="宋体"/>
                <w:color w:val="auto"/>
              </w:rPr>
            </w:pPr>
          </w:p>
        </w:tc>
        <w:tc>
          <w:tcPr>
            <w:tcW w:w="3058" w:type="dxa"/>
            <w:gridSpan w:val="4"/>
          </w:tcPr>
          <w:p>
            <w:pPr>
              <w:spacing w:before="156" w:after="156" w:line="360" w:lineRule="auto"/>
              <w:rPr>
                <w:rFonts w:ascii="宋体" w:hAnsi="宋体"/>
                <w:color w:val="auto"/>
              </w:rPr>
            </w:pPr>
            <w:r>
              <w:rPr>
                <w:rFonts w:hint="eastAsia" w:ascii="宋体" w:hAnsi="宋体"/>
                <w:color w:val="auto"/>
              </w:rPr>
              <w:t>从事项目经理/负责人年限</w:t>
            </w:r>
          </w:p>
        </w:tc>
        <w:tc>
          <w:tcPr>
            <w:tcW w:w="1442" w:type="dxa"/>
            <w:gridSpan w:val="2"/>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9" w:type="dxa"/>
            <w:gridSpan w:val="3"/>
          </w:tcPr>
          <w:p>
            <w:pPr>
              <w:spacing w:before="156" w:after="156" w:line="360" w:lineRule="auto"/>
              <w:rPr>
                <w:rFonts w:ascii="宋体" w:hAnsi="宋体"/>
                <w:color w:val="auto"/>
              </w:rPr>
            </w:pPr>
            <w:r>
              <w:rPr>
                <w:rFonts w:hint="eastAsia" w:ascii="宋体" w:hAnsi="宋体"/>
                <w:color w:val="auto"/>
              </w:rPr>
              <w:t>具有认证资质</w:t>
            </w:r>
          </w:p>
        </w:tc>
        <w:tc>
          <w:tcPr>
            <w:tcW w:w="6509" w:type="dxa"/>
            <w:gridSpan w:val="9"/>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8928" w:type="dxa"/>
            <w:gridSpan w:val="12"/>
          </w:tcPr>
          <w:p>
            <w:pPr>
              <w:spacing w:before="156" w:after="156" w:line="360" w:lineRule="auto"/>
              <w:jc w:val="center"/>
              <w:rPr>
                <w:rFonts w:ascii="宋体" w:hAnsi="宋体"/>
                <w:b/>
                <w:color w:val="auto"/>
              </w:rPr>
            </w:pPr>
            <w:r>
              <w:rPr>
                <w:rFonts w:hint="eastAsia" w:ascii="宋体" w:hAnsi="宋体"/>
                <w:b/>
                <w:color w:val="auto"/>
              </w:rPr>
              <w:t>从事过的项目列表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9" w:type="dxa"/>
            <w:gridSpan w:val="2"/>
          </w:tcPr>
          <w:p>
            <w:pPr>
              <w:spacing w:before="156" w:after="156" w:line="360" w:lineRule="auto"/>
              <w:jc w:val="center"/>
              <w:rPr>
                <w:rFonts w:ascii="宋体" w:hAnsi="宋体"/>
                <w:color w:val="auto"/>
              </w:rPr>
            </w:pPr>
            <w:r>
              <w:rPr>
                <w:rFonts w:hint="eastAsia" w:ascii="宋体" w:hAnsi="宋体"/>
                <w:color w:val="auto"/>
              </w:rPr>
              <w:t>采购单位</w:t>
            </w:r>
          </w:p>
        </w:tc>
        <w:tc>
          <w:tcPr>
            <w:tcW w:w="1937" w:type="dxa"/>
            <w:gridSpan w:val="3"/>
          </w:tcPr>
          <w:p>
            <w:pPr>
              <w:spacing w:before="156" w:after="156" w:line="360" w:lineRule="auto"/>
              <w:jc w:val="center"/>
              <w:rPr>
                <w:rFonts w:ascii="宋体" w:hAnsi="宋体"/>
                <w:color w:val="auto"/>
              </w:rPr>
            </w:pPr>
            <w:r>
              <w:rPr>
                <w:rFonts w:hint="eastAsia" w:ascii="宋体" w:hAnsi="宋体"/>
                <w:color w:val="auto"/>
              </w:rPr>
              <w:t>项目名称</w:t>
            </w:r>
          </w:p>
        </w:tc>
        <w:tc>
          <w:tcPr>
            <w:tcW w:w="1944" w:type="dxa"/>
            <w:gridSpan w:val="2"/>
          </w:tcPr>
          <w:p>
            <w:pPr>
              <w:spacing w:before="156" w:after="156" w:line="360" w:lineRule="auto"/>
              <w:jc w:val="center"/>
              <w:rPr>
                <w:rFonts w:ascii="宋体" w:hAnsi="宋体"/>
                <w:color w:val="auto"/>
              </w:rPr>
            </w:pPr>
            <w:r>
              <w:rPr>
                <w:rFonts w:hint="eastAsia" w:ascii="宋体" w:hAnsi="宋体"/>
                <w:color w:val="auto"/>
              </w:rPr>
              <w:t>项目规模</w:t>
            </w:r>
          </w:p>
        </w:tc>
        <w:tc>
          <w:tcPr>
            <w:tcW w:w="1487" w:type="dxa"/>
            <w:gridSpan w:val="2"/>
          </w:tcPr>
          <w:p>
            <w:pPr>
              <w:spacing w:before="156" w:after="156" w:line="360" w:lineRule="auto"/>
              <w:jc w:val="center"/>
              <w:rPr>
                <w:rFonts w:ascii="宋体" w:hAnsi="宋体"/>
                <w:color w:val="auto"/>
              </w:rPr>
            </w:pPr>
            <w:r>
              <w:rPr>
                <w:rFonts w:hint="eastAsia" w:ascii="宋体" w:hAnsi="宋体"/>
                <w:color w:val="auto"/>
              </w:rPr>
              <w:t>验收日期</w:t>
            </w:r>
          </w:p>
        </w:tc>
        <w:tc>
          <w:tcPr>
            <w:tcW w:w="1621" w:type="dxa"/>
            <w:gridSpan w:val="3"/>
          </w:tcPr>
          <w:p>
            <w:pPr>
              <w:spacing w:before="156" w:after="156" w:line="360" w:lineRule="auto"/>
              <w:jc w:val="center"/>
              <w:rPr>
                <w:rFonts w:ascii="宋体" w:hAnsi="宋体"/>
                <w:color w:val="auto"/>
              </w:rPr>
            </w:pPr>
            <w:r>
              <w:rPr>
                <w:rFonts w:hint="eastAsia" w:ascii="宋体" w:hAnsi="宋体"/>
                <w:color w:val="auto"/>
              </w:rPr>
              <w:t>项目质量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9" w:type="dxa"/>
            <w:gridSpan w:val="2"/>
          </w:tcPr>
          <w:p>
            <w:pPr>
              <w:spacing w:before="156" w:after="156" w:line="360" w:lineRule="auto"/>
              <w:rPr>
                <w:rFonts w:ascii="宋体" w:hAnsi="宋体"/>
                <w:color w:val="auto"/>
              </w:rPr>
            </w:pPr>
          </w:p>
        </w:tc>
        <w:tc>
          <w:tcPr>
            <w:tcW w:w="1937" w:type="dxa"/>
            <w:gridSpan w:val="3"/>
          </w:tcPr>
          <w:p>
            <w:pPr>
              <w:spacing w:before="156" w:after="156" w:line="360" w:lineRule="auto"/>
              <w:rPr>
                <w:rFonts w:ascii="宋体" w:hAnsi="宋体"/>
                <w:color w:val="auto"/>
              </w:rPr>
            </w:pPr>
          </w:p>
        </w:tc>
        <w:tc>
          <w:tcPr>
            <w:tcW w:w="1944" w:type="dxa"/>
            <w:gridSpan w:val="2"/>
          </w:tcPr>
          <w:p>
            <w:pPr>
              <w:spacing w:before="156" w:after="156" w:line="360" w:lineRule="auto"/>
              <w:rPr>
                <w:rFonts w:ascii="宋体" w:hAnsi="宋体"/>
                <w:color w:val="auto"/>
              </w:rPr>
            </w:pPr>
          </w:p>
        </w:tc>
        <w:tc>
          <w:tcPr>
            <w:tcW w:w="1487" w:type="dxa"/>
            <w:gridSpan w:val="2"/>
          </w:tcPr>
          <w:p>
            <w:pPr>
              <w:spacing w:before="156" w:after="156" w:line="360" w:lineRule="auto"/>
              <w:rPr>
                <w:rFonts w:ascii="宋体" w:hAnsi="宋体"/>
                <w:color w:val="auto"/>
              </w:rPr>
            </w:pPr>
          </w:p>
        </w:tc>
        <w:tc>
          <w:tcPr>
            <w:tcW w:w="1621" w:type="dxa"/>
            <w:gridSpan w:val="3"/>
          </w:tcPr>
          <w:p>
            <w:pPr>
              <w:spacing w:before="156" w:after="156" w:line="360" w:lineRule="auto"/>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9" w:type="dxa"/>
            <w:gridSpan w:val="2"/>
          </w:tcPr>
          <w:p>
            <w:pPr>
              <w:spacing w:before="156" w:after="156" w:line="360" w:lineRule="auto"/>
              <w:rPr>
                <w:rFonts w:ascii="宋体" w:hAnsi="宋体"/>
                <w:color w:val="auto"/>
              </w:rPr>
            </w:pPr>
          </w:p>
        </w:tc>
        <w:tc>
          <w:tcPr>
            <w:tcW w:w="1937" w:type="dxa"/>
            <w:gridSpan w:val="3"/>
          </w:tcPr>
          <w:p>
            <w:pPr>
              <w:spacing w:before="156" w:after="156" w:line="360" w:lineRule="auto"/>
              <w:rPr>
                <w:rFonts w:ascii="宋体" w:hAnsi="宋体"/>
                <w:color w:val="auto"/>
              </w:rPr>
            </w:pPr>
          </w:p>
        </w:tc>
        <w:tc>
          <w:tcPr>
            <w:tcW w:w="1944" w:type="dxa"/>
            <w:gridSpan w:val="2"/>
          </w:tcPr>
          <w:p>
            <w:pPr>
              <w:spacing w:before="156" w:after="156" w:line="360" w:lineRule="auto"/>
              <w:rPr>
                <w:rFonts w:ascii="宋体" w:hAnsi="宋体"/>
                <w:color w:val="auto"/>
              </w:rPr>
            </w:pPr>
          </w:p>
        </w:tc>
        <w:tc>
          <w:tcPr>
            <w:tcW w:w="1487" w:type="dxa"/>
            <w:gridSpan w:val="2"/>
          </w:tcPr>
          <w:p>
            <w:pPr>
              <w:spacing w:before="156" w:after="156" w:line="360" w:lineRule="auto"/>
              <w:rPr>
                <w:rFonts w:ascii="宋体" w:hAnsi="宋体"/>
                <w:color w:val="auto"/>
              </w:rPr>
            </w:pPr>
          </w:p>
        </w:tc>
        <w:tc>
          <w:tcPr>
            <w:tcW w:w="1621" w:type="dxa"/>
            <w:gridSpan w:val="3"/>
          </w:tcPr>
          <w:p>
            <w:pPr>
              <w:spacing w:before="156" w:after="156" w:line="360" w:lineRule="auto"/>
              <w:rPr>
                <w:rFonts w:ascii="宋体" w:hAnsi="宋体"/>
                <w:color w:val="auto"/>
              </w:rPr>
            </w:pPr>
          </w:p>
        </w:tc>
      </w:tr>
    </w:tbl>
    <w:p>
      <w:pPr>
        <w:pStyle w:val="7"/>
        <w:spacing w:before="156" w:after="156" w:line="400" w:lineRule="exact"/>
        <w:ind w:left="158" w:leftChars="75" w:firstLine="0"/>
        <w:rPr>
          <w:rFonts w:ascii="宋体" w:hAnsi="宋体"/>
          <w:b/>
          <w:color w:val="auto"/>
          <w:szCs w:val="21"/>
        </w:rPr>
      </w:pPr>
      <w:r>
        <w:rPr>
          <w:rFonts w:hint="eastAsia" w:ascii="宋体" w:hAnsi="宋体"/>
          <w:b/>
          <w:color w:val="auto"/>
          <w:szCs w:val="21"/>
        </w:rPr>
        <w:t>注：</w:t>
      </w:r>
      <w:r>
        <w:rPr>
          <w:rFonts w:ascii="宋体" w:hAnsi="宋体" w:cs="Arial"/>
          <w:color w:val="auto"/>
          <w:szCs w:val="21"/>
        </w:rPr>
        <w:t>提供相关</w:t>
      </w:r>
      <w:r>
        <w:rPr>
          <w:rFonts w:hint="eastAsia" w:ascii="宋体" w:hAnsi="宋体" w:cs="Arial"/>
          <w:color w:val="auto"/>
          <w:szCs w:val="21"/>
        </w:rPr>
        <w:t>资质、资格</w:t>
      </w:r>
      <w:r>
        <w:rPr>
          <w:rFonts w:ascii="宋体" w:hAnsi="宋体" w:cs="Arial"/>
          <w:color w:val="auto"/>
          <w:szCs w:val="21"/>
        </w:rPr>
        <w:t>证明文件复印件，</w:t>
      </w:r>
      <w:r>
        <w:rPr>
          <w:rFonts w:hint="eastAsia" w:ascii="宋体" w:hAnsi="宋体" w:cs="Arial"/>
          <w:color w:val="auto"/>
          <w:szCs w:val="21"/>
        </w:rPr>
        <w:t>及</w:t>
      </w:r>
      <w:r>
        <w:rPr>
          <w:rFonts w:hint="eastAsia" w:ascii="宋体" w:hAnsi="宋体"/>
          <w:color w:val="auto"/>
          <w:szCs w:val="21"/>
        </w:rPr>
        <w:t>在本单位任职的外部证明材料（如加盖所在地区政府</w:t>
      </w:r>
      <w:r>
        <w:rPr>
          <w:rFonts w:hint="eastAsia" w:ascii="宋体" w:hAnsi="宋体"/>
          <w:color w:val="auto"/>
          <w:kern w:val="0"/>
          <w:szCs w:val="21"/>
        </w:rPr>
        <w:t>有关部门</w:t>
      </w:r>
      <w:r>
        <w:rPr>
          <w:rFonts w:hint="eastAsia" w:ascii="宋体" w:hAnsi="宋体"/>
          <w:color w:val="auto"/>
          <w:szCs w:val="21"/>
        </w:rPr>
        <w:t>印章的打印日期在本项目提交响应文件截止日之前六个月以内任一月的《投保单》或《社会保险参保人员证明》，或单位代缴个人所得税税单等</w:t>
      </w:r>
      <w:r>
        <w:rPr>
          <w:rFonts w:ascii="宋体" w:hAnsi="宋体" w:cs="Arial"/>
          <w:color w:val="auto"/>
          <w:szCs w:val="21"/>
        </w:rPr>
        <w:t>。</w:t>
      </w:r>
    </w:p>
    <w:p>
      <w:pPr>
        <w:widowControl/>
        <w:autoSpaceDE w:val="0"/>
        <w:autoSpaceDN w:val="0"/>
        <w:spacing w:line="360" w:lineRule="auto"/>
        <w:ind w:right="890"/>
        <w:textAlignment w:val="bottom"/>
        <w:rPr>
          <w:rFonts w:ascii="宋体" w:hAnsi="宋体" w:cs="Arial"/>
          <w:color w:val="auto"/>
        </w:rPr>
      </w:pPr>
    </w:p>
    <w:p>
      <w:pPr>
        <w:widowControl/>
        <w:autoSpaceDE w:val="0"/>
        <w:autoSpaceDN w:val="0"/>
        <w:spacing w:line="360" w:lineRule="auto"/>
        <w:ind w:right="890"/>
        <w:textAlignment w:val="bottom"/>
        <w:rPr>
          <w:rFonts w:ascii="宋体" w:hAnsi="宋体" w:cs="Arial"/>
          <w:color w:val="auto"/>
        </w:rPr>
      </w:pPr>
      <w:r>
        <w:rPr>
          <w:rFonts w:hint="eastAsia" w:ascii="宋体" w:hAnsi="宋体" w:cs="Arial"/>
          <w:color w:val="auto"/>
        </w:rPr>
        <w:t>供应商名称(并加盖公章)：</w:t>
      </w:r>
    </w:p>
    <w:p>
      <w:pPr>
        <w:widowControl/>
        <w:autoSpaceDE w:val="0"/>
        <w:autoSpaceDN w:val="0"/>
        <w:spacing w:line="360" w:lineRule="auto"/>
        <w:ind w:right="890"/>
        <w:textAlignment w:val="bottom"/>
        <w:rPr>
          <w:rFonts w:ascii="宋体" w:hAnsi="宋体" w:cs="Arial"/>
          <w:color w:val="auto"/>
        </w:rPr>
      </w:pPr>
    </w:p>
    <w:p>
      <w:pPr>
        <w:widowControl/>
        <w:autoSpaceDE w:val="0"/>
        <w:autoSpaceDN w:val="0"/>
        <w:spacing w:line="360" w:lineRule="auto"/>
        <w:ind w:right="890"/>
        <w:textAlignment w:val="bottom"/>
        <w:rPr>
          <w:rFonts w:ascii="宋体" w:hAnsi="宋体"/>
          <w:color w:val="auto"/>
          <w:u w:val="single"/>
        </w:rPr>
      </w:pPr>
      <w:r>
        <w:rPr>
          <w:rFonts w:hint="eastAsia" w:ascii="宋体" w:hAnsi="宋体"/>
          <w:color w:val="auto"/>
        </w:rPr>
        <w:t>供应商法定代表人或其委托人签名或印鉴：</w:t>
      </w:r>
    </w:p>
    <w:p>
      <w:pPr>
        <w:widowControl/>
        <w:autoSpaceDE w:val="0"/>
        <w:autoSpaceDN w:val="0"/>
        <w:spacing w:line="360" w:lineRule="auto"/>
        <w:ind w:right="890"/>
        <w:textAlignment w:val="bottom"/>
        <w:rPr>
          <w:rFonts w:ascii="宋体" w:hAnsi="宋体"/>
          <w:color w:val="auto"/>
        </w:rPr>
      </w:pPr>
    </w:p>
    <w:p>
      <w:pPr>
        <w:widowControl/>
        <w:autoSpaceDE w:val="0"/>
        <w:autoSpaceDN w:val="0"/>
        <w:spacing w:line="360" w:lineRule="auto"/>
        <w:ind w:right="890"/>
        <w:textAlignment w:val="bottom"/>
        <w:rPr>
          <w:rFonts w:ascii="宋体" w:hAnsi="宋体"/>
          <w:color w:val="auto"/>
        </w:rPr>
      </w:pPr>
      <w:r>
        <w:rPr>
          <w:rFonts w:hint="eastAsia" w:ascii="宋体" w:hAnsi="宋体"/>
          <w:color w:val="auto"/>
        </w:rPr>
        <w:t>日期：</w:t>
      </w:r>
    </w:p>
    <w:p>
      <w:pPr>
        <w:pStyle w:val="4"/>
        <w:keepNext w:val="0"/>
        <w:keepLines w:val="0"/>
        <w:numPr>
          <w:ilvl w:val="1"/>
          <w:numId w:val="35"/>
        </w:numPr>
        <w:tabs>
          <w:tab w:val="left" w:pos="567"/>
        </w:tabs>
        <w:jc w:val="center"/>
        <w:rPr>
          <w:rFonts w:hAnsi="宋体" w:cs="Arial"/>
          <w:color w:val="auto"/>
          <w:sz w:val="28"/>
        </w:rPr>
      </w:pPr>
      <w:r>
        <w:rPr>
          <w:rFonts w:hint="eastAsia" w:hAnsi="宋体"/>
          <w:color w:val="auto"/>
        </w:rPr>
        <w:br w:type="page"/>
      </w:r>
      <w:bookmarkEnd w:id="413"/>
      <w:bookmarkEnd w:id="414"/>
      <w:bookmarkEnd w:id="415"/>
      <w:bookmarkEnd w:id="416"/>
      <w:bookmarkEnd w:id="417"/>
      <w:bookmarkStart w:id="418" w:name="_Toc24763"/>
      <w:bookmarkStart w:id="419" w:name="_Toc18935003"/>
      <w:bookmarkStart w:id="420" w:name="_Toc30382"/>
      <w:bookmarkStart w:id="421" w:name="_Toc23914"/>
      <w:bookmarkStart w:id="422" w:name="_Toc18907"/>
      <w:bookmarkStart w:id="423" w:name="_Toc23635"/>
      <w:bookmarkStart w:id="424" w:name="_Toc6386"/>
      <w:bookmarkStart w:id="425" w:name="_Toc469663704"/>
      <w:bookmarkStart w:id="426" w:name="_Toc18935145"/>
      <w:bookmarkStart w:id="427" w:name="_Toc426557884"/>
      <w:r>
        <w:rPr>
          <w:rFonts w:hint="eastAsia" w:hAnsi="宋体"/>
          <w:color w:val="auto"/>
          <w:sz w:val="21"/>
          <w:szCs w:val="21"/>
        </w:rPr>
        <w:t>拟为本项目配置的人员情况表</w:t>
      </w:r>
      <w:bookmarkEnd w:id="418"/>
      <w:bookmarkEnd w:id="419"/>
      <w:bookmarkEnd w:id="420"/>
      <w:bookmarkEnd w:id="421"/>
      <w:bookmarkEnd w:id="422"/>
      <w:bookmarkEnd w:id="423"/>
      <w:bookmarkEnd w:id="424"/>
      <w:bookmarkEnd w:id="425"/>
      <w:bookmarkEnd w:id="426"/>
      <w:bookmarkEnd w:id="427"/>
    </w:p>
    <w:tbl>
      <w:tblPr>
        <w:tblStyle w:val="37"/>
        <w:tblW w:w="97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791"/>
        <w:gridCol w:w="849"/>
        <w:gridCol w:w="861"/>
        <w:gridCol w:w="675"/>
        <w:gridCol w:w="849"/>
        <w:gridCol w:w="795"/>
        <w:gridCol w:w="1992"/>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vAlign w:val="center"/>
          </w:tcPr>
          <w:p>
            <w:pPr>
              <w:spacing w:beforeLines="50" w:afterLines="50" w:line="360" w:lineRule="auto"/>
              <w:jc w:val="center"/>
              <w:rPr>
                <w:rFonts w:ascii="Arial" w:hAnsi="Arial" w:cs="Arial"/>
                <w:b/>
                <w:bCs/>
                <w:color w:val="auto"/>
                <w:szCs w:val="21"/>
              </w:rPr>
            </w:pPr>
            <w:r>
              <w:rPr>
                <w:rFonts w:hint="eastAsia" w:ascii="Arial" w:hAnsi="Arial" w:cs="Arial"/>
                <w:b/>
                <w:bCs/>
                <w:color w:val="auto"/>
                <w:szCs w:val="21"/>
              </w:rPr>
              <w:t>序号</w:t>
            </w:r>
          </w:p>
        </w:tc>
        <w:tc>
          <w:tcPr>
            <w:tcW w:w="791" w:type="dxa"/>
            <w:vAlign w:val="center"/>
          </w:tcPr>
          <w:p>
            <w:pPr>
              <w:spacing w:beforeLines="50" w:afterLines="50" w:line="360" w:lineRule="auto"/>
              <w:jc w:val="center"/>
              <w:rPr>
                <w:rFonts w:ascii="Arial" w:hAnsi="Arial" w:cs="Arial"/>
                <w:b/>
                <w:bCs/>
                <w:color w:val="auto"/>
                <w:szCs w:val="21"/>
              </w:rPr>
            </w:pPr>
            <w:r>
              <w:rPr>
                <w:rFonts w:ascii="Arial" w:hAnsi="Arial" w:cs="Arial"/>
                <w:b/>
                <w:bCs/>
                <w:color w:val="auto"/>
                <w:szCs w:val="21"/>
              </w:rPr>
              <w:t>姓名</w:t>
            </w:r>
          </w:p>
        </w:tc>
        <w:tc>
          <w:tcPr>
            <w:tcW w:w="849" w:type="dxa"/>
            <w:vAlign w:val="center"/>
          </w:tcPr>
          <w:p>
            <w:pPr>
              <w:spacing w:beforeLines="50" w:afterLines="50" w:line="360" w:lineRule="auto"/>
              <w:jc w:val="center"/>
              <w:rPr>
                <w:rFonts w:ascii="Arial" w:hAnsi="Arial" w:cs="Arial"/>
                <w:b/>
                <w:bCs/>
                <w:color w:val="auto"/>
                <w:szCs w:val="21"/>
              </w:rPr>
            </w:pPr>
            <w:r>
              <w:rPr>
                <w:rFonts w:hint="eastAsia" w:ascii="Arial" w:hAnsi="Arial" w:cs="Arial"/>
                <w:b/>
                <w:bCs/>
                <w:color w:val="auto"/>
                <w:szCs w:val="21"/>
              </w:rPr>
              <w:t>年龄</w:t>
            </w:r>
          </w:p>
        </w:tc>
        <w:tc>
          <w:tcPr>
            <w:tcW w:w="861" w:type="dxa"/>
            <w:vAlign w:val="center"/>
          </w:tcPr>
          <w:p>
            <w:pPr>
              <w:spacing w:beforeLines="50" w:afterLines="50" w:line="360" w:lineRule="auto"/>
              <w:jc w:val="center"/>
              <w:rPr>
                <w:rFonts w:ascii="Arial" w:hAnsi="Arial" w:cs="Arial"/>
                <w:b/>
                <w:bCs/>
                <w:color w:val="auto"/>
                <w:szCs w:val="21"/>
              </w:rPr>
            </w:pPr>
            <w:r>
              <w:rPr>
                <w:rFonts w:hint="eastAsia" w:ascii="Arial" w:hAnsi="Arial" w:cs="Arial"/>
                <w:b/>
                <w:bCs/>
                <w:color w:val="auto"/>
                <w:szCs w:val="21"/>
              </w:rPr>
              <w:t>学历</w:t>
            </w:r>
          </w:p>
        </w:tc>
        <w:tc>
          <w:tcPr>
            <w:tcW w:w="675" w:type="dxa"/>
            <w:vAlign w:val="center"/>
          </w:tcPr>
          <w:p>
            <w:pPr>
              <w:spacing w:beforeLines="50" w:afterLines="50" w:line="360" w:lineRule="auto"/>
              <w:jc w:val="center"/>
              <w:rPr>
                <w:rFonts w:ascii="Arial" w:hAnsi="Arial" w:cs="Arial"/>
                <w:b/>
                <w:bCs/>
                <w:color w:val="auto"/>
                <w:szCs w:val="21"/>
              </w:rPr>
            </w:pPr>
            <w:r>
              <w:rPr>
                <w:rFonts w:hint="eastAsia" w:ascii="Arial" w:hAnsi="Arial" w:cs="Arial"/>
                <w:b/>
                <w:bCs/>
                <w:color w:val="auto"/>
                <w:szCs w:val="21"/>
              </w:rPr>
              <w:t>专业</w:t>
            </w:r>
          </w:p>
        </w:tc>
        <w:tc>
          <w:tcPr>
            <w:tcW w:w="849" w:type="dxa"/>
            <w:vAlign w:val="center"/>
          </w:tcPr>
          <w:p>
            <w:pPr>
              <w:spacing w:beforeLines="50" w:afterLines="50" w:line="360" w:lineRule="auto"/>
              <w:jc w:val="center"/>
              <w:rPr>
                <w:rFonts w:ascii="Arial" w:hAnsi="Arial" w:cs="Arial"/>
                <w:b/>
                <w:bCs/>
                <w:color w:val="auto"/>
                <w:szCs w:val="21"/>
              </w:rPr>
            </w:pPr>
            <w:r>
              <w:rPr>
                <w:rFonts w:hint="eastAsia" w:ascii="Arial" w:hAnsi="Arial" w:cs="Arial"/>
                <w:b/>
                <w:bCs/>
                <w:color w:val="auto"/>
                <w:szCs w:val="21"/>
              </w:rPr>
              <w:t>职称或资质</w:t>
            </w:r>
          </w:p>
        </w:tc>
        <w:tc>
          <w:tcPr>
            <w:tcW w:w="795" w:type="dxa"/>
            <w:vAlign w:val="center"/>
          </w:tcPr>
          <w:p>
            <w:pPr>
              <w:spacing w:beforeLines="50" w:afterLines="50" w:line="360" w:lineRule="auto"/>
              <w:jc w:val="center"/>
              <w:rPr>
                <w:rFonts w:ascii="Arial" w:hAnsi="Arial" w:cs="Arial"/>
                <w:b/>
                <w:bCs/>
                <w:color w:val="auto"/>
                <w:szCs w:val="21"/>
              </w:rPr>
            </w:pPr>
            <w:r>
              <w:rPr>
                <w:rFonts w:hint="eastAsia" w:ascii="Arial" w:hAnsi="Arial" w:cs="Arial"/>
                <w:b/>
                <w:bCs/>
                <w:color w:val="auto"/>
                <w:szCs w:val="21"/>
              </w:rPr>
              <w:t>经验年限</w:t>
            </w:r>
          </w:p>
        </w:tc>
        <w:tc>
          <w:tcPr>
            <w:tcW w:w="1992" w:type="dxa"/>
            <w:vAlign w:val="center"/>
          </w:tcPr>
          <w:p>
            <w:pPr>
              <w:spacing w:beforeLines="50" w:afterLines="50" w:line="360" w:lineRule="auto"/>
              <w:jc w:val="center"/>
              <w:rPr>
                <w:rFonts w:ascii="Arial" w:hAnsi="Arial" w:cs="Arial"/>
                <w:b/>
                <w:bCs/>
                <w:color w:val="auto"/>
                <w:szCs w:val="21"/>
              </w:rPr>
            </w:pPr>
            <w:r>
              <w:rPr>
                <w:rFonts w:hint="eastAsia" w:ascii="Arial" w:hAnsi="Arial" w:cs="Arial"/>
                <w:b/>
                <w:bCs/>
                <w:color w:val="auto"/>
                <w:szCs w:val="21"/>
              </w:rPr>
              <w:t>拟在本项目担任的职务及工作内容</w:t>
            </w:r>
          </w:p>
        </w:tc>
        <w:tc>
          <w:tcPr>
            <w:tcW w:w="2151" w:type="dxa"/>
            <w:vAlign w:val="center"/>
          </w:tcPr>
          <w:p>
            <w:pPr>
              <w:spacing w:beforeLines="50" w:afterLines="50" w:line="360" w:lineRule="auto"/>
              <w:jc w:val="center"/>
              <w:rPr>
                <w:rFonts w:ascii="Arial" w:hAnsi="Arial" w:cs="Arial"/>
                <w:b/>
                <w:bCs/>
                <w:color w:val="auto"/>
                <w:szCs w:val="21"/>
              </w:rPr>
            </w:pPr>
            <w:r>
              <w:rPr>
                <w:rFonts w:ascii="Arial" w:hAnsi="Arial" w:cs="Arial"/>
                <w:b/>
                <w:bCs/>
                <w:color w:val="auto"/>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tcPr>
          <w:p>
            <w:pPr>
              <w:spacing w:beforeLines="50" w:afterLines="50" w:line="360" w:lineRule="auto"/>
              <w:rPr>
                <w:rFonts w:ascii="Arial" w:hAnsi="Arial" w:cs="Arial"/>
                <w:color w:val="auto"/>
              </w:rPr>
            </w:pPr>
          </w:p>
        </w:tc>
        <w:tc>
          <w:tcPr>
            <w:tcW w:w="791"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861" w:type="dxa"/>
          </w:tcPr>
          <w:p>
            <w:pPr>
              <w:spacing w:beforeLines="50" w:afterLines="50" w:line="360" w:lineRule="auto"/>
              <w:rPr>
                <w:rFonts w:ascii="Arial" w:hAnsi="Arial" w:cs="Arial"/>
                <w:color w:val="auto"/>
              </w:rPr>
            </w:pPr>
          </w:p>
        </w:tc>
        <w:tc>
          <w:tcPr>
            <w:tcW w:w="675"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795" w:type="dxa"/>
          </w:tcPr>
          <w:p>
            <w:pPr>
              <w:spacing w:beforeLines="50" w:afterLines="50" w:line="360" w:lineRule="auto"/>
              <w:rPr>
                <w:rFonts w:ascii="Arial" w:hAnsi="Arial" w:cs="Arial"/>
                <w:color w:val="auto"/>
              </w:rPr>
            </w:pPr>
          </w:p>
        </w:tc>
        <w:tc>
          <w:tcPr>
            <w:tcW w:w="1992" w:type="dxa"/>
          </w:tcPr>
          <w:p>
            <w:pPr>
              <w:spacing w:beforeLines="50" w:afterLines="50" w:line="360" w:lineRule="auto"/>
              <w:rPr>
                <w:rFonts w:ascii="Arial" w:hAnsi="Arial" w:cs="Arial"/>
                <w:color w:val="auto"/>
              </w:rPr>
            </w:pPr>
          </w:p>
        </w:tc>
        <w:tc>
          <w:tcPr>
            <w:tcW w:w="2151" w:type="dxa"/>
          </w:tcPr>
          <w:p>
            <w:pPr>
              <w:spacing w:beforeLines="50" w:afterLines="50" w:line="360" w:lineRule="auto"/>
              <w:rPr>
                <w:rFonts w:ascii="Arial" w:hAnsi="Arial" w:cs="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tcPr>
          <w:p>
            <w:pPr>
              <w:spacing w:beforeLines="50" w:afterLines="50" w:line="360" w:lineRule="auto"/>
              <w:rPr>
                <w:rFonts w:ascii="Arial" w:hAnsi="Arial" w:cs="Arial"/>
                <w:color w:val="auto"/>
              </w:rPr>
            </w:pPr>
          </w:p>
        </w:tc>
        <w:tc>
          <w:tcPr>
            <w:tcW w:w="791"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861" w:type="dxa"/>
          </w:tcPr>
          <w:p>
            <w:pPr>
              <w:spacing w:beforeLines="50" w:afterLines="50" w:line="360" w:lineRule="auto"/>
              <w:rPr>
                <w:rFonts w:ascii="Arial" w:hAnsi="Arial" w:cs="Arial"/>
                <w:color w:val="auto"/>
              </w:rPr>
            </w:pPr>
          </w:p>
        </w:tc>
        <w:tc>
          <w:tcPr>
            <w:tcW w:w="675"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795" w:type="dxa"/>
          </w:tcPr>
          <w:p>
            <w:pPr>
              <w:spacing w:beforeLines="50" w:afterLines="50" w:line="360" w:lineRule="auto"/>
              <w:rPr>
                <w:rFonts w:ascii="Arial" w:hAnsi="Arial" w:cs="Arial"/>
                <w:color w:val="auto"/>
              </w:rPr>
            </w:pPr>
          </w:p>
        </w:tc>
        <w:tc>
          <w:tcPr>
            <w:tcW w:w="1992" w:type="dxa"/>
          </w:tcPr>
          <w:p>
            <w:pPr>
              <w:spacing w:beforeLines="50" w:afterLines="50" w:line="360" w:lineRule="auto"/>
              <w:rPr>
                <w:rFonts w:ascii="Arial" w:hAnsi="Arial" w:cs="Arial"/>
                <w:color w:val="auto"/>
              </w:rPr>
            </w:pPr>
          </w:p>
        </w:tc>
        <w:tc>
          <w:tcPr>
            <w:tcW w:w="2151" w:type="dxa"/>
          </w:tcPr>
          <w:p>
            <w:pPr>
              <w:spacing w:beforeLines="50" w:afterLines="50" w:line="360" w:lineRule="auto"/>
              <w:rPr>
                <w:rFonts w:ascii="Arial" w:hAnsi="Arial" w:cs="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tcPr>
          <w:p>
            <w:pPr>
              <w:spacing w:beforeLines="50" w:afterLines="50" w:line="360" w:lineRule="auto"/>
              <w:rPr>
                <w:rFonts w:ascii="Arial" w:hAnsi="Arial" w:cs="Arial"/>
                <w:color w:val="auto"/>
              </w:rPr>
            </w:pPr>
          </w:p>
        </w:tc>
        <w:tc>
          <w:tcPr>
            <w:tcW w:w="791"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861" w:type="dxa"/>
          </w:tcPr>
          <w:p>
            <w:pPr>
              <w:spacing w:beforeLines="50" w:afterLines="50" w:line="360" w:lineRule="auto"/>
              <w:rPr>
                <w:rFonts w:ascii="Arial" w:hAnsi="Arial" w:cs="Arial"/>
                <w:color w:val="auto"/>
              </w:rPr>
            </w:pPr>
          </w:p>
        </w:tc>
        <w:tc>
          <w:tcPr>
            <w:tcW w:w="675"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795" w:type="dxa"/>
          </w:tcPr>
          <w:p>
            <w:pPr>
              <w:spacing w:beforeLines="50" w:afterLines="50" w:line="360" w:lineRule="auto"/>
              <w:rPr>
                <w:rFonts w:ascii="Arial" w:hAnsi="Arial" w:cs="Arial"/>
                <w:color w:val="auto"/>
              </w:rPr>
            </w:pPr>
          </w:p>
        </w:tc>
        <w:tc>
          <w:tcPr>
            <w:tcW w:w="1992" w:type="dxa"/>
          </w:tcPr>
          <w:p>
            <w:pPr>
              <w:spacing w:beforeLines="50" w:afterLines="50" w:line="360" w:lineRule="auto"/>
              <w:rPr>
                <w:rFonts w:ascii="Arial" w:hAnsi="Arial" w:cs="Arial"/>
                <w:color w:val="auto"/>
              </w:rPr>
            </w:pPr>
          </w:p>
        </w:tc>
        <w:tc>
          <w:tcPr>
            <w:tcW w:w="2151" w:type="dxa"/>
          </w:tcPr>
          <w:p>
            <w:pPr>
              <w:spacing w:beforeLines="50" w:afterLines="50" w:line="360" w:lineRule="auto"/>
              <w:rPr>
                <w:rFonts w:ascii="Arial" w:hAnsi="Arial" w:cs="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tcPr>
          <w:p>
            <w:pPr>
              <w:spacing w:beforeLines="50" w:afterLines="50" w:line="360" w:lineRule="auto"/>
              <w:rPr>
                <w:rFonts w:ascii="Arial" w:hAnsi="Arial" w:cs="Arial"/>
                <w:color w:val="auto"/>
              </w:rPr>
            </w:pPr>
          </w:p>
        </w:tc>
        <w:tc>
          <w:tcPr>
            <w:tcW w:w="791"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861" w:type="dxa"/>
          </w:tcPr>
          <w:p>
            <w:pPr>
              <w:spacing w:beforeLines="50" w:afterLines="50" w:line="360" w:lineRule="auto"/>
              <w:rPr>
                <w:rFonts w:ascii="Arial" w:hAnsi="Arial" w:cs="Arial"/>
                <w:color w:val="auto"/>
              </w:rPr>
            </w:pPr>
          </w:p>
        </w:tc>
        <w:tc>
          <w:tcPr>
            <w:tcW w:w="675"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795" w:type="dxa"/>
          </w:tcPr>
          <w:p>
            <w:pPr>
              <w:spacing w:beforeLines="50" w:afterLines="50" w:line="360" w:lineRule="auto"/>
              <w:rPr>
                <w:rFonts w:ascii="Arial" w:hAnsi="Arial" w:cs="Arial"/>
                <w:color w:val="auto"/>
              </w:rPr>
            </w:pPr>
          </w:p>
        </w:tc>
        <w:tc>
          <w:tcPr>
            <w:tcW w:w="1992" w:type="dxa"/>
          </w:tcPr>
          <w:p>
            <w:pPr>
              <w:spacing w:beforeLines="50" w:afterLines="50" w:line="360" w:lineRule="auto"/>
              <w:rPr>
                <w:rFonts w:ascii="Arial" w:hAnsi="Arial" w:cs="Arial"/>
                <w:color w:val="auto"/>
              </w:rPr>
            </w:pPr>
          </w:p>
        </w:tc>
        <w:tc>
          <w:tcPr>
            <w:tcW w:w="2151" w:type="dxa"/>
          </w:tcPr>
          <w:p>
            <w:pPr>
              <w:spacing w:beforeLines="50" w:afterLines="50" w:line="360" w:lineRule="auto"/>
              <w:rPr>
                <w:rFonts w:ascii="Arial" w:hAnsi="Arial" w:cs="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9" w:type="dxa"/>
          </w:tcPr>
          <w:p>
            <w:pPr>
              <w:spacing w:beforeLines="50" w:afterLines="50" w:line="360" w:lineRule="auto"/>
              <w:rPr>
                <w:rFonts w:ascii="Arial" w:hAnsi="Arial" w:cs="Arial"/>
                <w:color w:val="auto"/>
              </w:rPr>
            </w:pPr>
          </w:p>
        </w:tc>
        <w:tc>
          <w:tcPr>
            <w:tcW w:w="791"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861" w:type="dxa"/>
          </w:tcPr>
          <w:p>
            <w:pPr>
              <w:spacing w:beforeLines="50" w:afterLines="50" w:line="360" w:lineRule="auto"/>
              <w:rPr>
                <w:rFonts w:ascii="Arial" w:hAnsi="Arial" w:cs="Arial"/>
                <w:color w:val="auto"/>
              </w:rPr>
            </w:pPr>
          </w:p>
        </w:tc>
        <w:tc>
          <w:tcPr>
            <w:tcW w:w="675" w:type="dxa"/>
          </w:tcPr>
          <w:p>
            <w:pPr>
              <w:spacing w:beforeLines="50" w:afterLines="50" w:line="360" w:lineRule="auto"/>
              <w:rPr>
                <w:rFonts w:ascii="Arial" w:hAnsi="Arial" w:cs="Arial"/>
                <w:color w:val="auto"/>
              </w:rPr>
            </w:pPr>
          </w:p>
        </w:tc>
        <w:tc>
          <w:tcPr>
            <w:tcW w:w="849" w:type="dxa"/>
          </w:tcPr>
          <w:p>
            <w:pPr>
              <w:spacing w:beforeLines="50" w:afterLines="50" w:line="360" w:lineRule="auto"/>
              <w:rPr>
                <w:rFonts w:ascii="Arial" w:hAnsi="Arial" w:cs="Arial"/>
                <w:color w:val="auto"/>
              </w:rPr>
            </w:pPr>
          </w:p>
        </w:tc>
        <w:tc>
          <w:tcPr>
            <w:tcW w:w="795" w:type="dxa"/>
          </w:tcPr>
          <w:p>
            <w:pPr>
              <w:spacing w:beforeLines="50" w:afterLines="50" w:line="360" w:lineRule="auto"/>
              <w:rPr>
                <w:rFonts w:ascii="Arial" w:hAnsi="Arial" w:cs="Arial"/>
                <w:color w:val="auto"/>
              </w:rPr>
            </w:pPr>
          </w:p>
        </w:tc>
        <w:tc>
          <w:tcPr>
            <w:tcW w:w="1992" w:type="dxa"/>
          </w:tcPr>
          <w:p>
            <w:pPr>
              <w:spacing w:beforeLines="50" w:afterLines="50" w:line="360" w:lineRule="auto"/>
              <w:rPr>
                <w:rFonts w:ascii="Arial" w:hAnsi="Arial" w:cs="Arial"/>
                <w:color w:val="auto"/>
              </w:rPr>
            </w:pPr>
          </w:p>
        </w:tc>
        <w:tc>
          <w:tcPr>
            <w:tcW w:w="2151" w:type="dxa"/>
          </w:tcPr>
          <w:p>
            <w:pPr>
              <w:spacing w:beforeLines="50" w:afterLines="50" w:line="360" w:lineRule="auto"/>
              <w:rPr>
                <w:rFonts w:ascii="Arial" w:hAnsi="Arial" w:cs="Arial"/>
                <w:color w:val="auto"/>
              </w:rPr>
            </w:pPr>
          </w:p>
        </w:tc>
      </w:tr>
    </w:tbl>
    <w:p>
      <w:pPr>
        <w:pStyle w:val="7"/>
        <w:spacing w:before="156" w:after="156" w:line="400" w:lineRule="exact"/>
        <w:ind w:left="158" w:leftChars="75" w:firstLine="0"/>
        <w:rPr>
          <w:rFonts w:ascii="宋体" w:hAnsi="宋体"/>
          <w:b/>
          <w:color w:val="auto"/>
          <w:szCs w:val="21"/>
        </w:rPr>
      </w:pPr>
      <w:r>
        <w:rPr>
          <w:rFonts w:hint="eastAsia" w:ascii="宋体" w:hAnsi="宋体"/>
          <w:b/>
          <w:color w:val="auto"/>
          <w:szCs w:val="21"/>
        </w:rPr>
        <w:t>注：</w:t>
      </w:r>
      <w:r>
        <w:rPr>
          <w:rFonts w:ascii="宋体" w:hAnsi="宋体" w:cs="Arial"/>
          <w:color w:val="auto"/>
          <w:szCs w:val="21"/>
        </w:rPr>
        <w:t>提供相关</w:t>
      </w:r>
      <w:r>
        <w:rPr>
          <w:rFonts w:hint="eastAsia" w:ascii="宋体" w:hAnsi="宋体" w:cs="Arial"/>
          <w:color w:val="auto"/>
          <w:szCs w:val="21"/>
        </w:rPr>
        <w:t>资质、资格</w:t>
      </w:r>
      <w:r>
        <w:rPr>
          <w:rFonts w:ascii="宋体" w:hAnsi="宋体" w:cs="Arial"/>
          <w:color w:val="auto"/>
          <w:szCs w:val="21"/>
        </w:rPr>
        <w:t>证明文件复印件，</w:t>
      </w:r>
      <w:r>
        <w:rPr>
          <w:rFonts w:hint="eastAsia" w:ascii="宋体" w:hAnsi="宋体" w:cs="Arial"/>
          <w:color w:val="auto"/>
          <w:szCs w:val="21"/>
        </w:rPr>
        <w:t>及</w:t>
      </w:r>
      <w:r>
        <w:rPr>
          <w:rFonts w:hint="eastAsia" w:ascii="宋体" w:hAnsi="宋体"/>
          <w:color w:val="auto"/>
          <w:szCs w:val="21"/>
        </w:rPr>
        <w:t>在本单位任职的外部证明材料（如加盖所在地区政府</w:t>
      </w:r>
      <w:r>
        <w:rPr>
          <w:rFonts w:hint="eastAsia" w:ascii="宋体" w:hAnsi="宋体"/>
          <w:color w:val="auto"/>
          <w:kern w:val="0"/>
          <w:szCs w:val="21"/>
        </w:rPr>
        <w:t>有关部门</w:t>
      </w:r>
      <w:r>
        <w:rPr>
          <w:rFonts w:hint="eastAsia" w:ascii="宋体" w:hAnsi="宋体"/>
          <w:color w:val="auto"/>
          <w:szCs w:val="21"/>
        </w:rPr>
        <w:t>印章的打印日期在本项目提交响应文件截止日之前六个月以内任一月的《投保单》或《社会保险参保人员证明》，或单位代缴个人所得税税单等</w:t>
      </w:r>
      <w:r>
        <w:rPr>
          <w:rFonts w:ascii="宋体" w:hAnsi="宋体" w:cs="Arial"/>
          <w:color w:val="auto"/>
          <w:szCs w:val="21"/>
        </w:rPr>
        <w:t>。</w:t>
      </w:r>
    </w:p>
    <w:p>
      <w:pPr>
        <w:spacing w:beforeLines="50" w:afterLines="50" w:line="360" w:lineRule="auto"/>
        <w:ind w:firstLine="105" w:firstLineChars="50"/>
        <w:rPr>
          <w:rFonts w:ascii="宋体" w:hAnsi="宋体"/>
          <w:color w:val="auto"/>
        </w:rPr>
      </w:pPr>
    </w:p>
    <w:p>
      <w:pPr>
        <w:spacing w:beforeLines="50" w:afterLines="50" w:line="360" w:lineRule="auto"/>
        <w:ind w:firstLine="105" w:firstLineChars="50"/>
        <w:rPr>
          <w:rFonts w:ascii="宋体" w:hAnsi="宋体"/>
          <w:color w:val="auto"/>
        </w:rPr>
      </w:pPr>
    </w:p>
    <w:p>
      <w:pPr>
        <w:spacing w:beforeLines="50" w:afterLines="50" w:line="360" w:lineRule="auto"/>
        <w:ind w:firstLine="105" w:firstLineChars="50"/>
        <w:rPr>
          <w:rFonts w:ascii="宋体" w:hAnsi="宋体"/>
          <w:color w:val="auto"/>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供应商名称(并加盖公章)：</w:t>
      </w:r>
    </w:p>
    <w:p>
      <w:pPr>
        <w:widowControl/>
        <w:autoSpaceDE w:val="0"/>
        <w:autoSpaceDN w:val="0"/>
        <w:spacing w:line="360" w:lineRule="auto"/>
        <w:ind w:right="893"/>
        <w:textAlignment w:val="bottom"/>
        <w:rPr>
          <w:rFonts w:ascii="宋体" w:hAnsi="宋体" w:cs="Arial"/>
          <w:color w:val="auto"/>
        </w:rPr>
      </w:pPr>
    </w:p>
    <w:p>
      <w:pPr>
        <w:widowControl/>
        <w:autoSpaceDE w:val="0"/>
        <w:autoSpaceDN w:val="0"/>
        <w:spacing w:line="360" w:lineRule="auto"/>
        <w:ind w:right="893"/>
        <w:textAlignment w:val="bottom"/>
        <w:rPr>
          <w:rFonts w:ascii="宋体" w:hAnsi="宋体"/>
          <w:color w:val="auto"/>
        </w:rPr>
      </w:pPr>
      <w:r>
        <w:rPr>
          <w:rFonts w:hint="eastAsia" w:ascii="宋体" w:hAnsi="宋体" w:cs="Arial"/>
          <w:color w:val="auto"/>
        </w:rPr>
        <w:t>供应商法定代表人或其委托人签名或印鉴：</w:t>
      </w:r>
    </w:p>
    <w:p>
      <w:pPr>
        <w:widowControl/>
        <w:autoSpaceDE w:val="0"/>
        <w:autoSpaceDN w:val="0"/>
        <w:spacing w:line="360" w:lineRule="auto"/>
        <w:ind w:right="893"/>
        <w:textAlignment w:val="bottom"/>
        <w:rPr>
          <w:rFonts w:ascii="宋体" w:hAnsi="宋体"/>
          <w:color w:val="auto"/>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日期：</w:t>
      </w:r>
    </w:p>
    <w:p>
      <w:pPr>
        <w:pStyle w:val="4"/>
        <w:keepNext w:val="0"/>
        <w:keepLines w:val="0"/>
        <w:numPr>
          <w:ilvl w:val="1"/>
          <w:numId w:val="35"/>
        </w:numPr>
        <w:tabs>
          <w:tab w:val="left" w:pos="567"/>
        </w:tabs>
        <w:jc w:val="center"/>
        <w:rPr>
          <w:rFonts w:hAnsi="宋体"/>
          <w:color w:val="auto"/>
          <w:sz w:val="21"/>
          <w:szCs w:val="21"/>
        </w:rPr>
      </w:pPr>
      <w:r>
        <w:rPr>
          <w:rFonts w:hAnsi="宋体" w:cs="Arial"/>
          <w:color w:val="auto"/>
        </w:rPr>
        <w:br w:type="page"/>
      </w:r>
      <w:bookmarkStart w:id="428" w:name="_Toc18935146"/>
      <w:bookmarkStart w:id="429" w:name="_Toc469663705"/>
      <w:bookmarkStart w:id="430" w:name="_Toc7583"/>
      <w:bookmarkStart w:id="431" w:name="_Toc23135"/>
      <w:bookmarkStart w:id="432" w:name="_Toc10160"/>
      <w:bookmarkStart w:id="433" w:name="_Toc12574"/>
      <w:bookmarkStart w:id="434" w:name="_Toc270"/>
      <w:bookmarkStart w:id="435" w:name="_Toc18935004"/>
      <w:bookmarkStart w:id="436" w:name="_Toc17880"/>
      <w:r>
        <w:rPr>
          <w:rFonts w:hint="eastAsia" w:hAnsi="宋体"/>
          <w:color w:val="auto"/>
          <w:sz w:val="21"/>
          <w:szCs w:val="21"/>
        </w:rPr>
        <w:t>类似项目一览表</w:t>
      </w:r>
      <w:bookmarkEnd w:id="428"/>
      <w:bookmarkEnd w:id="429"/>
      <w:bookmarkEnd w:id="430"/>
      <w:bookmarkEnd w:id="431"/>
      <w:bookmarkEnd w:id="432"/>
      <w:bookmarkEnd w:id="433"/>
      <w:bookmarkEnd w:id="434"/>
      <w:bookmarkEnd w:id="435"/>
      <w:bookmarkEnd w:id="436"/>
      <w:bookmarkStart w:id="437" w:name="_Toc307826693"/>
      <w:bookmarkEnd w:id="437"/>
      <w:bookmarkStart w:id="438" w:name="_Toc307826064"/>
      <w:bookmarkEnd w:id="438"/>
    </w:p>
    <w:tbl>
      <w:tblPr>
        <w:tblStyle w:val="37"/>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280"/>
        <w:gridCol w:w="1454"/>
        <w:gridCol w:w="1264"/>
        <w:gridCol w:w="1598"/>
        <w:gridCol w:w="150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left="-84" w:leftChars="-40" w:right="-107" w:rightChars="-51"/>
              <w:jc w:val="center"/>
              <w:rPr>
                <w:b/>
                <w:color w:val="auto"/>
              </w:rPr>
            </w:pPr>
            <w:r>
              <w:rPr>
                <w:rFonts w:hint="eastAsia"/>
                <w:b/>
                <w:color w:val="auto"/>
              </w:rPr>
              <w:t>序号</w:t>
            </w:r>
          </w:p>
        </w:tc>
        <w:tc>
          <w:tcPr>
            <w:tcW w:w="12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color w:val="auto"/>
              </w:rPr>
            </w:pPr>
            <w:r>
              <w:rPr>
                <w:rFonts w:hint="eastAsia"/>
                <w:b/>
                <w:color w:val="auto"/>
              </w:rPr>
              <w:t>业主名称</w:t>
            </w:r>
          </w:p>
        </w:tc>
        <w:tc>
          <w:tcPr>
            <w:tcW w:w="14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color w:val="auto"/>
              </w:rPr>
            </w:pPr>
            <w:r>
              <w:rPr>
                <w:rFonts w:hint="eastAsia"/>
                <w:b/>
                <w:color w:val="auto"/>
              </w:rPr>
              <w:t>项目名称</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color w:val="auto"/>
              </w:rPr>
            </w:pPr>
            <w:r>
              <w:rPr>
                <w:rFonts w:hint="eastAsia"/>
                <w:b/>
                <w:color w:val="auto"/>
              </w:rPr>
              <w:t>合同金额</w:t>
            </w:r>
          </w:p>
        </w:tc>
        <w:tc>
          <w:tcPr>
            <w:tcW w:w="159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color w:val="auto"/>
              </w:rPr>
            </w:pPr>
            <w:r>
              <w:rPr>
                <w:rFonts w:hint="eastAsia"/>
                <w:b/>
                <w:color w:val="auto"/>
              </w:rPr>
              <w:t>签约及完成时间</w:t>
            </w:r>
          </w:p>
        </w:tc>
        <w:tc>
          <w:tcPr>
            <w:tcW w:w="15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color w:val="auto"/>
              </w:rPr>
            </w:pPr>
            <w:r>
              <w:rPr>
                <w:rFonts w:hint="eastAsia" w:ascii="宋体" w:hAnsi="宋体"/>
                <w:b/>
                <w:color w:val="auto"/>
                <w:szCs w:val="21"/>
              </w:rPr>
              <w:t>验收情况</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b/>
                <w:color w:val="auto"/>
              </w:rPr>
            </w:pPr>
            <w:r>
              <w:rPr>
                <w:rFonts w:hint="eastAsia"/>
                <w:b/>
                <w:color w:val="auto"/>
              </w:rPr>
              <w:t>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45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2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9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5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c>
          <w:tcPr>
            <w:tcW w:w="13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color w:val="auto"/>
              </w:rPr>
            </w:pPr>
          </w:p>
        </w:tc>
      </w:tr>
    </w:tbl>
    <w:p>
      <w:pPr>
        <w:spacing w:before="156" w:after="156" w:line="360" w:lineRule="auto"/>
        <w:ind w:left="315" w:leftChars="150"/>
        <w:rPr>
          <w:rFonts w:ascii="宋体" w:hAnsi="宋体"/>
          <w:color w:val="auto"/>
          <w:szCs w:val="21"/>
        </w:rPr>
      </w:pPr>
      <w:r>
        <w:rPr>
          <w:rFonts w:hint="eastAsia" w:ascii="宋体" w:hAnsi="宋体"/>
          <w:color w:val="auto"/>
          <w:szCs w:val="21"/>
        </w:rPr>
        <w:t>（此表可延长）</w:t>
      </w:r>
    </w:p>
    <w:p>
      <w:pPr>
        <w:spacing w:before="156" w:after="156" w:line="360" w:lineRule="auto"/>
        <w:ind w:left="315" w:leftChars="150"/>
        <w:rPr>
          <w:rFonts w:ascii="宋体" w:hAnsi="宋体"/>
          <w:color w:val="auto"/>
          <w:szCs w:val="21"/>
        </w:rPr>
      </w:pPr>
      <w:r>
        <w:rPr>
          <w:rFonts w:hint="eastAsia" w:ascii="宋体" w:hAnsi="宋体"/>
          <w:b/>
          <w:bCs/>
          <w:color w:val="auto"/>
          <w:szCs w:val="21"/>
        </w:rPr>
        <w:t>注：供应商相关项目的成功经验，提供合同、验收报告或中标（成交）通知书复印件。</w:t>
      </w:r>
    </w:p>
    <w:p>
      <w:pPr>
        <w:spacing w:line="360" w:lineRule="auto"/>
        <w:rPr>
          <w:rFonts w:hAnsi="宋体"/>
          <w:color w:val="auto"/>
        </w:rPr>
      </w:pPr>
    </w:p>
    <w:p>
      <w:pPr>
        <w:spacing w:line="360" w:lineRule="auto"/>
        <w:rPr>
          <w:rFonts w:hAnsi="宋体"/>
          <w:color w:val="auto"/>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供应商名称(并加盖公章)：</w:t>
      </w:r>
    </w:p>
    <w:p>
      <w:pPr>
        <w:widowControl/>
        <w:autoSpaceDE w:val="0"/>
        <w:autoSpaceDN w:val="0"/>
        <w:spacing w:line="360" w:lineRule="auto"/>
        <w:ind w:right="893"/>
        <w:textAlignment w:val="bottom"/>
        <w:rPr>
          <w:rFonts w:ascii="宋体" w:hAnsi="宋体" w:cs="Arial"/>
          <w:color w:val="auto"/>
        </w:rPr>
      </w:pPr>
    </w:p>
    <w:p>
      <w:pPr>
        <w:widowControl/>
        <w:autoSpaceDE w:val="0"/>
        <w:autoSpaceDN w:val="0"/>
        <w:spacing w:line="360" w:lineRule="auto"/>
        <w:ind w:right="893"/>
        <w:textAlignment w:val="bottom"/>
        <w:rPr>
          <w:rFonts w:ascii="宋体" w:hAnsi="宋体"/>
          <w:color w:val="auto"/>
        </w:rPr>
      </w:pPr>
      <w:r>
        <w:rPr>
          <w:rFonts w:hint="eastAsia" w:ascii="宋体" w:hAnsi="宋体" w:cs="Arial"/>
          <w:color w:val="auto"/>
        </w:rPr>
        <w:t>供应商法定代表人或其委托人签名或印鉴：</w:t>
      </w:r>
    </w:p>
    <w:p>
      <w:pPr>
        <w:widowControl/>
        <w:autoSpaceDE w:val="0"/>
        <w:autoSpaceDN w:val="0"/>
        <w:spacing w:line="360" w:lineRule="auto"/>
        <w:ind w:right="893"/>
        <w:textAlignment w:val="bottom"/>
        <w:rPr>
          <w:rFonts w:ascii="宋体" w:hAnsi="宋体"/>
          <w:color w:val="auto"/>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日期：</w:t>
      </w:r>
    </w:p>
    <w:p>
      <w:pPr>
        <w:spacing w:line="360" w:lineRule="auto"/>
        <w:rPr>
          <w:rFonts w:hAnsi="宋体"/>
          <w:color w:val="auto"/>
        </w:rPr>
      </w:pPr>
    </w:p>
    <w:p>
      <w:pPr>
        <w:pStyle w:val="4"/>
        <w:keepNext w:val="0"/>
        <w:keepLines w:val="0"/>
        <w:numPr>
          <w:ilvl w:val="1"/>
          <w:numId w:val="35"/>
        </w:numPr>
        <w:tabs>
          <w:tab w:val="left" w:pos="567"/>
        </w:tabs>
        <w:jc w:val="center"/>
        <w:rPr>
          <w:rFonts w:hAnsi="宋体" w:cs="Arial"/>
          <w:color w:val="auto"/>
          <w:sz w:val="28"/>
        </w:rPr>
      </w:pPr>
      <w:r>
        <w:rPr>
          <w:rFonts w:hint="eastAsia" w:hAnsi="宋体"/>
          <w:color w:val="auto"/>
        </w:rPr>
        <w:br w:type="page"/>
      </w:r>
      <w:bookmarkStart w:id="439" w:name="_Toc27389"/>
      <w:bookmarkStart w:id="440" w:name="_Toc30404"/>
      <w:bookmarkStart w:id="441" w:name="_Toc2618"/>
      <w:bookmarkStart w:id="442" w:name="_Toc18935147"/>
      <w:bookmarkStart w:id="443" w:name="_Toc18935005"/>
      <w:bookmarkStart w:id="444" w:name="_Toc9470"/>
      <w:bookmarkStart w:id="445" w:name="_Toc469663706"/>
      <w:bookmarkStart w:id="446" w:name="_Toc31301"/>
      <w:bookmarkStart w:id="447" w:name="_Toc16444"/>
      <w:r>
        <w:rPr>
          <w:rFonts w:hint="eastAsia" w:hAnsi="宋体"/>
          <w:color w:val="auto"/>
          <w:sz w:val="21"/>
          <w:szCs w:val="21"/>
        </w:rPr>
        <w:t>保证金退还说明</w:t>
      </w:r>
      <w:bookmarkEnd w:id="439"/>
      <w:bookmarkEnd w:id="440"/>
      <w:bookmarkEnd w:id="441"/>
      <w:bookmarkEnd w:id="442"/>
      <w:bookmarkEnd w:id="443"/>
      <w:bookmarkEnd w:id="444"/>
      <w:bookmarkEnd w:id="445"/>
      <w:bookmarkEnd w:id="446"/>
      <w:bookmarkEnd w:id="447"/>
    </w:p>
    <w:p>
      <w:pPr>
        <w:pStyle w:val="7"/>
        <w:spacing w:line="360" w:lineRule="auto"/>
        <w:rPr>
          <w:rFonts w:ascii="宋体" w:hAnsi="宋体"/>
          <w:color w:val="auto"/>
        </w:rPr>
      </w:pPr>
    </w:p>
    <w:p>
      <w:pPr>
        <w:pStyle w:val="17"/>
        <w:rPr>
          <w:rFonts w:hAnsi="宋体"/>
          <w:color w:val="auto"/>
          <w:kern w:val="0"/>
          <w:sz w:val="21"/>
        </w:rPr>
      </w:pPr>
      <w:r>
        <w:rPr>
          <w:rFonts w:hint="eastAsia" w:hAnsi="宋体"/>
          <w:color w:val="auto"/>
          <w:sz w:val="21"/>
        </w:rPr>
        <w:t>致：</w:t>
      </w:r>
      <w:r>
        <w:rPr>
          <w:rFonts w:hint="eastAsia" w:hAnsi="宋体"/>
          <w:color w:val="auto"/>
          <w:kern w:val="0"/>
          <w:sz w:val="21"/>
        </w:rPr>
        <w:t xml:space="preserve"> 广东熙泽企业管理有限公司</w:t>
      </w:r>
    </w:p>
    <w:p>
      <w:pPr>
        <w:pStyle w:val="17"/>
        <w:ind w:firstLine="420" w:firstLineChars="200"/>
        <w:rPr>
          <w:rFonts w:hAnsi="宋体"/>
          <w:color w:val="auto"/>
          <w:kern w:val="0"/>
          <w:sz w:val="21"/>
        </w:rPr>
      </w:pPr>
      <w:r>
        <w:rPr>
          <w:rFonts w:hint="eastAsia" w:hAnsi="宋体"/>
          <w:color w:val="auto"/>
          <w:sz w:val="21"/>
        </w:rPr>
        <w:t>我方为</w:t>
      </w:r>
      <w:r>
        <w:rPr>
          <w:rFonts w:hint="eastAsia" w:hAnsi="宋体"/>
          <w:bCs/>
          <w:color w:val="auto"/>
          <w:kern w:val="28"/>
          <w:sz w:val="21"/>
        </w:rPr>
        <w:t>（项目编号：）</w:t>
      </w:r>
      <w:r>
        <w:rPr>
          <w:rFonts w:hint="eastAsia" w:hAnsi="宋体"/>
          <w:color w:val="auto"/>
          <w:sz w:val="21"/>
        </w:rPr>
        <w:t>磋商所提交的保证金元，请贵公司退还时划到下列账户：</w:t>
      </w:r>
    </w:p>
    <w:p>
      <w:pPr>
        <w:pStyle w:val="17"/>
        <w:ind w:firstLine="420" w:firstLineChars="200"/>
        <w:rPr>
          <w:rFonts w:hAnsi="宋体"/>
          <w:color w:val="auto"/>
          <w:kern w:val="0"/>
          <w:sz w:val="21"/>
        </w:rPr>
      </w:pPr>
      <w:r>
        <w:rPr>
          <w:rFonts w:hint="eastAsia" w:hAnsi="宋体"/>
          <w:color w:val="auto"/>
          <w:sz w:val="21"/>
        </w:rPr>
        <w:t>收款单位：</w:t>
      </w:r>
    </w:p>
    <w:p>
      <w:pPr>
        <w:pStyle w:val="17"/>
        <w:ind w:firstLine="420" w:firstLineChars="200"/>
        <w:rPr>
          <w:rFonts w:hAnsi="宋体"/>
          <w:color w:val="auto"/>
          <w:kern w:val="0"/>
          <w:sz w:val="21"/>
        </w:rPr>
      </w:pPr>
      <w:r>
        <w:rPr>
          <w:rFonts w:hint="eastAsia" w:hAnsi="宋体"/>
          <w:color w:val="auto"/>
          <w:sz w:val="21"/>
        </w:rPr>
        <w:t>开户银行：</w:t>
      </w:r>
    </w:p>
    <w:p>
      <w:pPr>
        <w:pStyle w:val="17"/>
        <w:ind w:firstLine="420" w:firstLineChars="200"/>
        <w:rPr>
          <w:rFonts w:hAnsi="宋体"/>
          <w:color w:val="auto"/>
          <w:sz w:val="21"/>
        </w:rPr>
      </w:pPr>
      <w:r>
        <w:rPr>
          <w:rFonts w:hint="eastAsia" w:hAnsi="宋体"/>
          <w:color w:val="auto"/>
          <w:sz w:val="21"/>
        </w:rPr>
        <w:t>账    号：</w:t>
      </w:r>
    </w:p>
    <w:p>
      <w:pPr>
        <w:pStyle w:val="17"/>
        <w:ind w:firstLine="420" w:firstLineChars="200"/>
        <w:rPr>
          <w:rFonts w:hAnsi="宋体"/>
          <w:color w:val="auto"/>
          <w:sz w:val="21"/>
        </w:rPr>
      </w:pPr>
      <w:r>
        <w:rPr>
          <w:rFonts w:hint="eastAsia" w:hAnsi="宋体"/>
          <w:color w:val="auto"/>
          <w:sz w:val="21"/>
        </w:rPr>
        <w:t>联系人：</w:t>
      </w:r>
    </w:p>
    <w:p>
      <w:pPr>
        <w:pStyle w:val="17"/>
        <w:ind w:firstLine="420" w:firstLineChars="200"/>
        <w:rPr>
          <w:rFonts w:hAnsi="宋体"/>
          <w:color w:val="auto"/>
          <w:sz w:val="21"/>
        </w:rPr>
      </w:pPr>
      <w:r>
        <w:rPr>
          <w:rFonts w:hint="eastAsia" w:hAnsi="宋体"/>
          <w:color w:val="auto"/>
          <w:sz w:val="21"/>
        </w:rPr>
        <w:t>联系人电话：</w:t>
      </w:r>
    </w:p>
    <w:p>
      <w:pPr>
        <w:pStyle w:val="17"/>
        <w:ind w:firstLine="420" w:firstLineChars="200"/>
        <w:rPr>
          <w:rFonts w:hAnsi="宋体"/>
          <w:color w:val="auto"/>
          <w:kern w:val="0"/>
          <w:sz w:val="21"/>
        </w:rPr>
      </w:pPr>
    </w:p>
    <w:p>
      <w:pPr>
        <w:pStyle w:val="17"/>
        <w:ind w:firstLine="420" w:firstLineChars="200"/>
        <w:rPr>
          <w:rFonts w:hAnsi="宋体"/>
          <w:color w:val="auto"/>
          <w:kern w:val="0"/>
          <w:sz w:val="21"/>
        </w:rPr>
      </w:pPr>
    </w:p>
    <w:p>
      <w:pPr>
        <w:pStyle w:val="17"/>
        <w:ind w:firstLine="420" w:firstLineChars="200"/>
        <w:rPr>
          <w:rFonts w:hAnsi="宋体"/>
          <w:color w:val="auto"/>
          <w:kern w:val="0"/>
          <w:sz w:val="21"/>
        </w:rPr>
      </w:pPr>
    </w:p>
    <w:p>
      <w:pPr>
        <w:pStyle w:val="17"/>
        <w:ind w:firstLine="420" w:firstLineChars="200"/>
        <w:rPr>
          <w:rFonts w:hAnsi="宋体"/>
          <w:color w:val="auto"/>
          <w:kern w:val="0"/>
          <w:sz w:val="21"/>
        </w:rPr>
      </w:pPr>
    </w:p>
    <w:p>
      <w:pPr>
        <w:widowControl/>
        <w:autoSpaceDE w:val="0"/>
        <w:autoSpaceDN w:val="0"/>
        <w:spacing w:line="360" w:lineRule="auto"/>
        <w:ind w:right="893"/>
        <w:textAlignment w:val="bottom"/>
        <w:rPr>
          <w:rFonts w:ascii="宋体" w:hAnsi="宋体" w:cs="Arial"/>
          <w:color w:val="auto"/>
        </w:rPr>
      </w:pPr>
      <w:r>
        <w:rPr>
          <w:rFonts w:hint="eastAsia" w:ascii="宋体" w:hAnsi="宋体" w:cs="Arial"/>
          <w:color w:val="auto"/>
        </w:rPr>
        <w:t>供应商名称(并加盖公章)：</w:t>
      </w:r>
    </w:p>
    <w:p>
      <w:pPr>
        <w:widowControl/>
        <w:autoSpaceDE w:val="0"/>
        <w:autoSpaceDN w:val="0"/>
        <w:spacing w:line="360" w:lineRule="auto"/>
        <w:ind w:right="893"/>
        <w:textAlignment w:val="bottom"/>
        <w:rPr>
          <w:rFonts w:ascii="宋体" w:hAnsi="宋体" w:cs="Arial"/>
          <w:color w:val="auto"/>
        </w:rPr>
      </w:pPr>
    </w:p>
    <w:p>
      <w:pPr>
        <w:widowControl/>
        <w:autoSpaceDE w:val="0"/>
        <w:autoSpaceDN w:val="0"/>
        <w:spacing w:line="360" w:lineRule="auto"/>
        <w:ind w:right="893"/>
        <w:textAlignment w:val="bottom"/>
        <w:rPr>
          <w:rFonts w:ascii="宋体" w:hAnsi="宋体"/>
          <w:color w:val="auto"/>
        </w:rPr>
      </w:pPr>
      <w:r>
        <w:rPr>
          <w:rFonts w:hint="eastAsia" w:ascii="宋体" w:hAnsi="宋体" w:cs="Arial"/>
          <w:color w:val="auto"/>
        </w:rPr>
        <w:t>供应商法定代表人或其委托人签名或印鉴：</w:t>
      </w:r>
    </w:p>
    <w:p>
      <w:pPr>
        <w:widowControl/>
        <w:autoSpaceDE w:val="0"/>
        <w:autoSpaceDN w:val="0"/>
        <w:spacing w:line="360" w:lineRule="auto"/>
        <w:ind w:right="893"/>
        <w:textAlignment w:val="bottom"/>
        <w:rPr>
          <w:rFonts w:ascii="宋体" w:hAnsi="宋体"/>
          <w:color w:val="auto"/>
        </w:rPr>
      </w:pPr>
    </w:p>
    <w:p>
      <w:pPr>
        <w:pStyle w:val="17"/>
        <w:rPr>
          <w:rFonts w:hAnsi="宋体"/>
          <w:color w:val="auto"/>
        </w:rPr>
      </w:pPr>
      <w:r>
        <w:rPr>
          <w:rFonts w:hint="eastAsia" w:hAnsi="宋体"/>
          <w:color w:val="auto"/>
          <w:sz w:val="21"/>
        </w:rPr>
        <w:t>日期：</w:t>
      </w:r>
    </w:p>
    <w:p>
      <w:pPr>
        <w:pStyle w:val="4"/>
        <w:keepNext w:val="0"/>
        <w:keepLines w:val="0"/>
        <w:numPr>
          <w:ilvl w:val="1"/>
          <w:numId w:val="35"/>
        </w:numPr>
        <w:tabs>
          <w:tab w:val="left" w:pos="567"/>
        </w:tabs>
        <w:jc w:val="center"/>
        <w:rPr>
          <w:rFonts w:hAnsi="宋体" w:cs="Arial"/>
          <w:color w:val="auto"/>
          <w:sz w:val="28"/>
        </w:rPr>
      </w:pPr>
      <w:bookmarkStart w:id="448" w:name="_Toc298421269"/>
      <w:bookmarkStart w:id="449" w:name="_Toc332275186"/>
      <w:r>
        <w:rPr>
          <w:rFonts w:hAnsi="宋体"/>
          <w:color w:val="auto"/>
          <w:sz w:val="21"/>
        </w:rPr>
        <w:br w:type="page"/>
      </w:r>
      <w:bookmarkStart w:id="450" w:name="_Toc20385"/>
      <w:bookmarkStart w:id="451" w:name="_Toc24604"/>
      <w:bookmarkStart w:id="452" w:name="_Toc469663707"/>
      <w:bookmarkStart w:id="453" w:name="_Toc23184"/>
      <w:bookmarkStart w:id="454" w:name="_Toc14014"/>
      <w:bookmarkStart w:id="455" w:name="_Toc18935148"/>
      <w:bookmarkStart w:id="456" w:name="_Toc18935006"/>
      <w:bookmarkStart w:id="457" w:name="_Toc11035"/>
      <w:bookmarkStart w:id="458" w:name="_Toc22475"/>
      <w:r>
        <w:rPr>
          <w:rFonts w:hint="eastAsia" w:hAnsi="宋体"/>
          <w:color w:val="auto"/>
          <w:sz w:val="21"/>
          <w:szCs w:val="21"/>
        </w:rPr>
        <w:t>招标代理服务费承诺书</w:t>
      </w:r>
      <w:bookmarkEnd w:id="450"/>
      <w:bookmarkEnd w:id="451"/>
      <w:bookmarkEnd w:id="452"/>
      <w:bookmarkEnd w:id="453"/>
      <w:bookmarkEnd w:id="454"/>
      <w:bookmarkEnd w:id="455"/>
      <w:bookmarkEnd w:id="456"/>
      <w:bookmarkEnd w:id="457"/>
      <w:bookmarkEnd w:id="458"/>
    </w:p>
    <w:bookmarkEnd w:id="448"/>
    <w:bookmarkEnd w:id="449"/>
    <w:p>
      <w:pPr>
        <w:spacing w:line="360" w:lineRule="auto"/>
        <w:rPr>
          <w:rFonts w:ascii="宋体" w:hAnsi="宋体"/>
          <w:color w:val="auto"/>
        </w:rPr>
      </w:pPr>
    </w:p>
    <w:p>
      <w:pPr>
        <w:spacing w:line="360" w:lineRule="auto"/>
        <w:rPr>
          <w:rFonts w:ascii="宋体" w:hAnsi="宋体"/>
          <w:color w:val="auto"/>
        </w:rPr>
      </w:pPr>
      <w:r>
        <w:rPr>
          <w:rFonts w:hint="eastAsia" w:ascii="宋体" w:hAnsi="宋体"/>
          <w:color w:val="auto"/>
        </w:rPr>
        <w:t>致：</w:t>
      </w:r>
      <w:r>
        <w:rPr>
          <w:rFonts w:hint="eastAsia" w:ascii="宋体" w:hAnsi="宋体"/>
          <w:b/>
          <w:color w:val="auto"/>
        </w:rPr>
        <w:t>广东熙泽企业管理有限公司：</w:t>
      </w:r>
    </w:p>
    <w:p>
      <w:pPr>
        <w:spacing w:line="360" w:lineRule="auto"/>
        <w:rPr>
          <w:rFonts w:ascii="宋体" w:hAnsi="宋体"/>
          <w:color w:val="auto"/>
        </w:rPr>
      </w:pPr>
      <w:r>
        <w:rPr>
          <w:rFonts w:hint="eastAsia" w:ascii="宋体" w:hAnsi="宋体"/>
          <w:color w:val="auto"/>
        </w:rPr>
        <w:t xml:space="preserve">    如果我方在贵公司组织的</w:t>
      </w:r>
      <w:r>
        <w:rPr>
          <w:rFonts w:hint="eastAsia" w:ascii="宋体" w:hAnsi="宋体"/>
          <w:bCs/>
          <w:color w:val="auto"/>
          <w:kern w:val="28"/>
        </w:rPr>
        <w:t>（项目编号：）</w:t>
      </w:r>
      <w:r>
        <w:rPr>
          <w:rFonts w:hint="eastAsia" w:ascii="宋体" w:hAnsi="宋体"/>
          <w:color w:val="auto"/>
        </w:rPr>
        <w:t>磋商中获成交，我方保证在收取《中标通知书》后，按磋商文件规定向贵公司交纳招标代理服务费。</w:t>
      </w:r>
    </w:p>
    <w:p>
      <w:pPr>
        <w:spacing w:line="360" w:lineRule="auto"/>
        <w:rPr>
          <w:rFonts w:ascii="宋体" w:hAnsi="宋体"/>
          <w:color w:val="auto"/>
        </w:rPr>
      </w:pPr>
      <w:r>
        <w:rPr>
          <w:rFonts w:hint="eastAsia" w:ascii="宋体" w:hAnsi="宋体"/>
          <w:color w:val="auto"/>
        </w:rPr>
        <w:t xml:space="preserve">    我方如违约，愿凭贵公司开出的违约通知，按招标代理服务费的200％接受处罚，从不予退还我方提交的磋商保证金中支付，不足部分由甲方在支付我方的成交合同货款中代为扣付，并愿承担全部由此引起的法律责任。</w:t>
      </w:r>
    </w:p>
    <w:p>
      <w:pPr>
        <w:spacing w:line="360" w:lineRule="auto"/>
        <w:rPr>
          <w:rFonts w:ascii="宋体" w:hAnsi="宋体"/>
          <w:color w:val="auto"/>
        </w:rPr>
      </w:pPr>
    </w:p>
    <w:p>
      <w:pPr>
        <w:spacing w:line="360" w:lineRule="auto"/>
        <w:rPr>
          <w:rFonts w:ascii="宋体" w:hAnsi="宋体"/>
          <w:color w:val="auto"/>
        </w:rPr>
      </w:pPr>
      <w:r>
        <w:rPr>
          <w:rFonts w:hint="eastAsia" w:ascii="宋体" w:hAnsi="宋体"/>
          <w:color w:val="auto"/>
        </w:rPr>
        <w:t xml:space="preserve">    特此承诺！</w:t>
      </w:r>
    </w:p>
    <w:p>
      <w:pPr>
        <w:spacing w:line="360" w:lineRule="auto"/>
        <w:ind w:left="4700" w:leftChars="2238"/>
        <w:rPr>
          <w:rFonts w:ascii="宋体" w:hAnsi="宋体"/>
          <w:color w:val="auto"/>
        </w:rPr>
      </w:pPr>
      <w:r>
        <w:rPr>
          <w:rFonts w:hint="eastAsia" w:ascii="宋体" w:hAnsi="宋体"/>
          <w:color w:val="auto"/>
        </w:rPr>
        <w:t>供应商法定名称（公章）；</w:t>
      </w:r>
    </w:p>
    <w:p>
      <w:pPr>
        <w:spacing w:line="360" w:lineRule="auto"/>
        <w:ind w:left="4700" w:leftChars="2238"/>
        <w:rPr>
          <w:rFonts w:ascii="宋体" w:hAnsi="宋体"/>
          <w:color w:val="auto"/>
        </w:rPr>
      </w:pPr>
    </w:p>
    <w:p>
      <w:pPr>
        <w:spacing w:line="360" w:lineRule="auto"/>
        <w:ind w:left="4700" w:leftChars="2238"/>
        <w:rPr>
          <w:rFonts w:ascii="宋体" w:hAnsi="宋体"/>
          <w:color w:val="auto"/>
        </w:rPr>
      </w:pPr>
      <w:r>
        <w:rPr>
          <w:rFonts w:hint="eastAsia" w:ascii="宋体" w:hAnsi="宋体"/>
          <w:color w:val="auto"/>
        </w:rPr>
        <w:t>供应商法定地址：</w:t>
      </w:r>
    </w:p>
    <w:p>
      <w:pPr>
        <w:spacing w:line="360" w:lineRule="auto"/>
        <w:ind w:right="420"/>
        <w:jc w:val="center"/>
        <w:rPr>
          <w:rFonts w:ascii="宋体" w:hAnsi="宋体"/>
          <w:color w:val="auto"/>
        </w:rPr>
      </w:pPr>
    </w:p>
    <w:p>
      <w:pPr>
        <w:spacing w:line="360" w:lineRule="auto"/>
        <w:ind w:right="420" w:firstLine="4698" w:firstLineChars="2237"/>
        <w:rPr>
          <w:rFonts w:ascii="宋体" w:hAnsi="宋体"/>
          <w:color w:val="auto"/>
        </w:rPr>
      </w:pPr>
      <w:r>
        <w:rPr>
          <w:rFonts w:hint="eastAsia" w:ascii="宋体" w:hAnsi="宋体"/>
          <w:color w:val="auto"/>
        </w:rPr>
        <w:t>供应商授权代表（签名或印鉴）：</w:t>
      </w:r>
    </w:p>
    <w:p>
      <w:pPr>
        <w:spacing w:line="360" w:lineRule="auto"/>
        <w:ind w:left="4700" w:leftChars="2238"/>
        <w:rPr>
          <w:rFonts w:ascii="宋体" w:hAnsi="宋体"/>
          <w:color w:val="auto"/>
        </w:rPr>
      </w:pPr>
    </w:p>
    <w:p>
      <w:pPr>
        <w:spacing w:line="360" w:lineRule="auto"/>
        <w:ind w:left="4700" w:leftChars="2238"/>
        <w:rPr>
          <w:rFonts w:ascii="宋体" w:hAnsi="宋体"/>
          <w:color w:val="auto"/>
        </w:rPr>
      </w:pPr>
      <w:r>
        <w:rPr>
          <w:rFonts w:hint="eastAsia" w:ascii="宋体" w:hAnsi="宋体"/>
          <w:color w:val="auto"/>
        </w:rPr>
        <w:t>电    话：</w:t>
      </w:r>
    </w:p>
    <w:p>
      <w:pPr>
        <w:spacing w:line="360" w:lineRule="auto"/>
        <w:ind w:left="4700" w:leftChars="2238"/>
        <w:rPr>
          <w:rFonts w:ascii="宋体" w:hAnsi="宋体"/>
          <w:color w:val="auto"/>
        </w:rPr>
      </w:pPr>
    </w:p>
    <w:p>
      <w:pPr>
        <w:spacing w:line="360" w:lineRule="auto"/>
        <w:ind w:left="4700" w:leftChars="2238"/>
        <w:rPr>
          <w:rFonts w:ascii="宋体" w:hAnsi="宋体"/>
          <w:color w:val="auto"/>
        </w:rPr>
      </w:pPr>
      <w:r>
        <w:rPr>
          <w:rFonts w:hint="eastAsia" w:ascii="宋体" w:hAnsi="宋体"/>
          <w:color w:val="auto"/>
        </w:rPr>
        <w:t>传    真：</w:t>
      </w:r>
    </w:p>
    <w:p>
      <w:pPr>
        <w:spacing w:line="360" w:lineRule="auto"/>
        <w:ind w:left="4700" w:leftChars="2238"/>
        <w:rPr>
          <w:rFonts w:ascii="宋体" w:hAnsi="宋体"/>
          <w:color w:val="auto"/>
        </w:rPr>
      </w:pPr>
    </w:p>
    <w:p>
      <w:pPr>
        <w:pStyle w:val="7"/>
        <w:spacing w:line="360" w:lineRule="auto"/>
        <w:ind w:firstLine="4830" w:firstLineChars="2300"/>
        <w:rPr>
          <w:rFonts w:ascii="宋体" w:hAnsi="宋体" w:cs="Arial"/>
          <w:b/>
          <w:color w:val="auto"/>
          <w:kern w:val="44"/>
          <w:szCs w:val="21"/>
        </w:rPr>
      </w:pPr>
      <w:r>
        <w:rPr>
          <w:rFonts w:hint="eastAsia" w:ascii="宋体" w:hAnsi="宋体"/>
          <w:color w:val="auto"/>
        </w:rPr>
        <w:t>承诺日期：</w:t>
      </w:r>
      <w:r>
        <w:rPr>
          <w:color w:val="auto"/>
        </w:rPr>
        <w:br w:type="page"/>
      </w:r>
      <w:r>
        <w:rPr>
          <w:rFonts w:hint="eastAsia" w:ascii="宋体" w:hAnsi="宋体" w:cs="Arial"/>
          <w:b/>
          <w:color w:val="auto"/>
          <w:kern w:val="44"/>
          <w:szCs w:val="21"/>
        </w:rPr>
        <w:t>以下磋商保函、政府采购磋商担保函、联合体共同磋商协议书格式文件由供应商根据需要选用。</w:t>
      </w:r>
    </w:p>
    <w:bookmarkEnd w:id="335"/>
    <w:bookmarkEnd w:id="336"/>
    <w:bookmarkEnd w:id="337"/>
    <w:bookmarkEnd w:id="338"/>
    <w:bookmarkEnd w:id="339"/>
    <w:bookmarkEnd w:id="340"/>
    <w:bookmarkEnd w:id="341"/>
    <w:bookmarkEnd w:id="342"/>
    <w:bookmarkEnd w:id="343"/>
    <w:bookmarkEnd w:id="353"/>
    <w:bookmarkEnd w:id="354"/>
    <w:bookmarkEnd w:id="355"/>
    <w:bookmarkEnd w:id="356"/>
    <w:bookmarkEnd w:id="358"/>
    <w:bookmarkEnd w:id="359"/>
    <w:bookmarkEnd w:id="360"/>
    <w:bookmarkEnd w:id="361"/>
    <w:bookmarkEnd w:id="362"/>
    <w:p>
      <w:pPr>
        <w:pStyle w:val="4"/>
        <w:keepNext w:val="0"/>
        <w:keepLines w:val="0"/>
        <w:numPr>
          <w:ilvl w:val="1"/>
          <w:numId w:val="35"/>
        </w:numPr>
        <w:tabs>
          <w:tab w:val="left" w:pos="567"/>
        </w:tabs>
        <w:jc w:val="center"/>
        <w:rPr>
          <w:rFonts w:hAnsi="宋体"/>
          <w:color w:val="auto"/>
          <w:sz w:val="21"/>
          <w:szCs w:val="21"/>
        </w:rPr>
      </w:pPr>
      <w:bookmarkStart w:id="459" w:name="_Toc426557888"/>
      <w:bookmarkStart w:id="460" w:name="_Toc18935007"/>
      <w:bookmarkStart w:id="461" w:name="_Toc1447"/>
      <w:bookmarkStart w:id="462" w:name="_Toc29734"/>
      <w:bookmarkStart w:id="463" w:name="_Toc11138"/>
      <w:bookmarkStart w:id="464" w:name="_Toc476"/>
      <w:bookmarkStart w:id="465" w:name="_Toc835"/>
      <w:bookmarkStart w:id="466" w:name="_Toc8731"/>
      <w:bookmarkStart w:id="467" w:name="_Toc18935149"/>
      <w:bookmarkStart w:id="468" w:name="_Toc469663708"/>
      <w:r>
        <w:rPr>
          <w:rFonts w:hint="eastAsia" w:hAnsi="宋体"/>
          <w:color w:val="auto"/>
          <w:sz w:val="21"/>
          <w:szCs w:val="21"/>
        </w:rPr>
        <w:t>磋商保函</w:t>
      </w:r>
      <w:bookmarkEnd w:id="459"/>
      <w:r>
        <w:rPr>
          <w:rFonts w:hint="eastAsia" w:hAnsi="宋体"/>
          <w:color w:val="auto"/>
          <w:sz w:val="21"/>
          <w:szCs w:val="21"/>
        </w:rPr>
        <w:t>（已缴纳磋商保证金的，无需提供磋商保函）</w:t>
      </w:r>
      <w:bookmarkEnd w:id="460"/>
      <w:bookmarkEnd w:id="461"/>
      <w:bookmarkEnd w:id="462"/>
      <w:bookmarkEnd w:id="463"/>
      <w:bookmarkEnd w:id="464"/>
      <w:bookmarkEnd w:id="465"/>
      <w:bookmarkEnd w:id="466"/>
      <w:bookmarkEnd w:id="467"/>
      <w:bookmarkEnd w:id="468"/>
    </w:p>
    <w:p>
      <w:pPr>
        <w:snapToGrid w:val="0"/>
        <w:spacing w:line="360" w:lineRule="auto"/>
        <w:jc w:val="center"/>
        <w:rPr>
          <w:rFonts w:ascii="宋体" w:hAnsi="宋体"/>
          <w:color w:val="auto"/>
          <w:szCs w:val="21"/>
        </w:rPr>
      </w:pPr>
      <w:r>
        <w:rPr>
          <w:rFonts w:hint="eastAsia" w:ascii="宋体" w:hAnsi="宋体"/>
          <w:color w:val="auto"/>
          <w:szCs w:val="21"/>
        </w:rPr>
        <w:t>（不符合磋商文件要求的保函有被拒收的风险）</w:t>
      </w:r>
    </w:p>
    <w:p>
      <w:pPr>
        <w:snapToGrid w:val="0"/>
        <w:spacing w:line="360" w:lineRule="auto"/>
        <w:jc w:val="center"/>
        <w:rPr>
          <w:rFonts w:ascii="宋体" w:hAnsi="宋体"/>
          <w:color w:val="auto"/>
          <w:szCs w:val="21"/>
        </w:rPr>
      </w:pPr>
    </w:p>
    <w:p>
      <w:pPr>
        <w:pStyle w:val="7"/>
        <w:adjustRightInd w:val="0"/>
        <w:snapToGrid w:val="0"/>
        <w:spacing w:line="360" w:lineRule="auto"/>
        <w:ind w:firstLine="0"/>
        <w:rPr>
          <w:rFonts w:ascii="宋体" w:hAnsi="宋体" w:cs="Tahoma"/>
          <w:color w:val="auto"/>
          <w:szCs w:val="21"/>
        </w:rPr>
      </w:pPr>
      <w:r>
        <w:rPr>
          <w:rFonts w:ascii="宋体" w:hAnsi="宋体" w:cs="Tahoma"/>
          <w:color w:val="auto"/>
          <w:szCs w:val="21"/>
        </w:rPr>
        <w:t>开具日期：</w:t>
      </w:r>
      <w:r>
        <w:rPr>
          <w:rFonts w:hint="eastAsia" w:ascii="宋体" w:hAnsi="宋体" w:cs="Tahoma"/>
          <w:color w:val="auto"/>
          <w:szCs w:val="21"/>
        </w:rPr>
        <w:t xml:space="preserve">     年    月   日</w:t>
      </w:r>
    </w:p>
    <w:p>
      <w:pPr>
        <w:pStyle w:val="2"/>
        <w:spacing w:line="360" w:lineRule="auto"/>
        <w:jc w:val="right"/>
        <w:rPr>
          <w:color w:val="auto"/>
          <w:szCs w:val="21"/>
        </w:rPr>
      </w:pPr>
      <w:r>
        <w:rPr>
          <w:rFonts w:hint="eastAsia"/>
          <w:color w:val="auto"/>
          <w:szCs w:val="21"/>
        </w:rPr>
        <w:t>不可撤销保函第号</w:t>
      </w:r>
    </w:p>
    <w:p>
      <w:pPr>
        <w:adjustRightInd w:val="0"/>
        <w:snapToGrid w:val="0"/>
        <w:spacing w:line="360" w:lineRule="auto"/>
        <w:rPr>
          <w:rFonts w:ascii="宋体" w:hAnsi="宋体" w:cs="Tahoma"/>
          <w:b/>
          <w:color w:val="auto"/>
          <w:szCs w:val="21"/>
        </w:rPr>
      </w:pPr>
      <w:r>
        <w:rPr>
          <w:rFonts w:ascii="宋体" w:hAnsi="宋体" w:cs="Tahoma"/>
          <w:color w:val="auto"/>
          <w:szCs w:val="21"/>
        </w:rPr>
        <w:t>致</w:t>
      </w:r>
      <w:r>
        <w:rPr>
          <w:rFonts w:hint="eastAsia" w:ascii="宋体" w:hAnsi="宋体" w:cs="Tahoma"/>
          <w:color w:val="auto"/>
          <w:szCs w:val="21"/>
        </w:rPr>
        <w:t>：</w:t>
      </w:r>
      <w:r>
        <w:rPr>
          <w:rFonts w:hint="eastAsia" w:ascii="宋体" w:hAnsi="宋体" w:cs="Tahoma"/>
          <w:b/>
          <w:color w:val="auto"/>
          <w:szCs w:val="21"/>
        </w:rPr>
        <w:t>广东熙泽企业管理有限公司</w:t>
      </w:r>
    </w:p>
    <w:p>
      <w:pPr>
        <w:spacing w:line="360" w:lineRule="auto"/>
        <w:ind w:firstLine="420" w:firstLineChars="200"/>
        <w:jc w:val="left"/>
        <w:rPr>
          <w:rFonts w:ascii="宋体" w:hAnsi="宋体"/>
          <w:color w:val="auto"/>
          <w:szCs w:val="21"/>
        </w:rPr>
      </w:pPr>
      <w:r>
        <w:rPr>
          <w:rFonts w:ascii="宋体" w:hAnsi="宋体"/>
          <w:color w:val="auto"/>
          <w:szCs w:val="21"/>
        </w:rPr>
        <w:t>本保函作为</w:t>
      </w:r>
      <w:r>
        <w:rPr>
          <w:rFonts w:hint="eastAsia" w:ascii="宋体" w:hAnsi="宋体"/>
          <w:color w:val="auto"/>
          <w:szCs w:val="21"/>
          <w:u w:val="single"/>
        </w:rPr>
        <w:t>（</w:t>
      </w:r>
      <w:r>
        <w:rPr>
          <w:rFonts w:ascii="宋体" w:hAnsi="宋体"/>
          <w:color w:val="auto"/>
          <w:szCs w:val="21"/>
          <w:u w:val="single"/>
        </w:rPr>
        <w:t>供应商名称</w:t>
      </w:r>
      <w:r>
        <w:rPr>
          <w:rFonts w:hint="eastAsia" w:ascii="宋体" w:hAnsi="宋体"/>
          <w:color w:val="auto"/>
          <w:szCs w:val="21"/>
          <w:u w:val="single"/>
        </w:rPr>
        <w:t xml:space="preserve">) </w:t>
      </w:r>
      <w:r>
        <w:rPr>
          <w:rFonts w:hint="eastAsia" w:ascii="宋体" w:hAnsi="宋体"/>
          <w:color w:val="auto"/>
          <w:szCs w:val="21"/>
        </w:rPr>
        <w:t>（</w:t>
      </w:r>
      <w:r>
        <w:rPr>
          <w:rFonts w:ascii="宋体" w:hAnsi="宋体"/>
          <w:color w:val="auto"/>
          <w:szCs w:val="21"/>
        </w:rPr>
        <w:t>以下简称供应商)</w:t>
      </w:r>
      <w:r>
        <w:rPr>
          <w:rFonts w:hint="eastAsia" w:ascii="宋体" w:hAnsi="宋体"/>
          <w:color w:val="auto"/>
          <w:szCs w:val="21"/>
        </w:rPr>
        <w:t>响应采购项目</w:t>
      </w:r>
      <w:r>
        <w:rPr>
          <w:rFonts w:ascii="宋体" w:hAnsi="宋体"/>
          <w:color w:val="auto"/>
          <w:szCs w:val="21"/>
        </w:rPr>
        <w:t>编号的</w:t>
      </w:r>
      <w:r>
        <w:rPr>
          <w:rFonts w:hint="eastAsia" w:ascii="宋体" w:hAnsi="宋体"/>
          <w:color w:val="auto"/>
          <w:szCs w:val="21"/>
        </w:rPr>
        <w:t>采购项目的磋商</w:t>
      </w:r>
      <w:r>
        <w:rPr>
          <w:rFonts w:ascii="宋体" w:hAnsi="宋体"/>
          <w:color w:val="auto"/>
          <w:szCs w:val="21"/>
        </w:rPr>
        <w:t>邀请提供的磋商保证金</w:t>
      </w:r>
      <w:r>
        <w:rPr>
          <w:rFonts w:hint="eastAsia" w:ascii="宋体" w:hAnsi="宋体"/>
          <w:color w:val="auto"/>
          <w:szCs w:val="21"/>
        </w:rPr>
        <w:t>，</w:t>
      </w:r>
      <w:r>
        <w:rPr>
          <w:rFonts w:hint="eastAsia" w:ascii="宋体" w:hAnsi="宋体"/>
          <w:color w:val="auto"/>
          <w:szCs w:val="21"/>
          <w:u w:val="single"/>
        </w:rPr>
        <w:t xml:space="preserve">  （开具银行名称） </w:t>
      </w:r>
      <w:r>
        <w:rPr>
          <w:rFonts w:hint="eastAsia" w:ascii="宋体" w:hAnsi="宋体"/>
          <w:color w:val="auto"/>
          <w:szCs w:val="21"/>
        </w:rPr>
        <w:t>在此</w:t>
      </w:r>
      <w:r>
        <w:rPr>
          <w:rFonts w:ascii="宋体" w:hAnsi="宋体"/>
          <w:color w:val="auto"/>
          <w:szCs w:val="21"/>
        </w:rPr>
        <w:t>无条件</w:t>
      </w:r>
      <w:r>
        <w:rPr>
          <w:rFonts w:hint="eastAsia" w:ascii="宋体" w:hAnsi="宋体"/>
          <w:color w:val="auto"/>
          <w:szCs w:val="21"/>
        </w:rPr>
        <w:t>及</w:t>
      </w:r>
      <w:r>
        <w:rPr>
          <w:rFonts w:ascii="宋体" w:hAnsi="宋体"/>
          <w:color w:val="auto"/>
          <w:szCs w:val="21"/>
        </w:rPr>
        <w:t>不可撤销地具结保证</w:t>
      </w:r>
      <w:r>
        <w:rPr>
          <w:rFonts w:hint="eastAsia" w:ascii="宋体" w:hAnsi="宋体"/>
          <w:color w:val="auto"/>
          <w:szCs w:val="21"/>
        </w:rPr>
        <w:t>并承诺，</w:t>
      </w:r>
      <w:r>
        <w:rPr>
          <w:rFonts w:ascii="宋体" w:hAnsi="宋体"/>
          <w:color w:val="auto"/>
          <w:szCs w:val="21"/>
        </w:rPr>
        <w:t>本行或其后继者</w:t>
      </w:r>
      <w:r>
        <w:rPr>
          <w:rFonts w:hint="eastAsia" w:ascii="宋体" w:hAnsi="宋体"/>
          <w:color w:val="auto"/>
          <w:szCs w:val="21"/>
        </w:rPr>
        <w:t>或</w:t>
      </w:r>
      <w:r>
        <w:rPr>
          <w:rFonts w:ascii="宋体" w:hAnsi="宋体"/>
          <w:color w:val="auto"/>
          <w:szCs w:val="21"/>
        </w:rPr>
        <w:t>受让人一旦收到贵方提出的下述任何一种</w:t>
      </w:r>
      <w:r>
        <w:rPr>
          <w:rFonts w:hint="eastAsia" w:ascii="宋体" w:hAnsi="宋体"/>
          <w:color w:val="auto"/>
          <w:szCs w:val="21"/>
        </w:rPr>
        <w:t>情况</w:t>
      </w:r>
      <w:r>
        <w:rPr>
          <w:rFonts w:ascii="宋体" w:hAnsi="宋体"/>
          <w:color w:val="auto"/>
          <w:szCs w:val="21"/>
        </w:rPr>
        <w:t>的书面通知</w:t>
      </w:r>
      <w:r>
        <w:rPr>
          <w:rFonts w:hint="eastAsia" w:ascii="宋体" w:hAnsi="宋体"/>
          <w:color w:val="auto"/>
          <w:szCs w:val="21"/>
        </w:rPr>
        <w:t>（贵方不需要说明理由，不需要提供证明）</w:t>
      </w:r>
      <w:r>
        <w:rPr>
          <w:rFonts w:ascii="宋体" w:hAnsi="宋体"/>
          <w:color w:val="auto"/>
          <w:szCs w:val="21"/>
        </w:rPr>
        <w:t>，立即无</w:t>
      </w:r>
      <w:r>
        <w:rPr>
          <w:rFonts w:hint="eastAsia" w:ascii="宋体" w:hAnsi="宋体"/>
          <w:color w:val="auto"/>
          <w:szCs w:val="21"/>
        </w:rPr>
        <w:t>条件</w:t>
      </w:r>
      <w:r>
        <w:rPr>
          <w:rFonts w:ascii="宋体" w:hAnsi="宋体"/>
          <w:color w:val="auto"/>
          <w:szCs w:val="21"/>
        </w:rPr>
        <w:t>地向贵方支付人民币（大写）</w:t>
      </w:r>
      <w:r>
        <w:rPr>
          <w:rFonts w:hint="eastAsia" w:ascii="宋体" w:hAnsi="宋体"/>
          <w:color w:val="auto"/>
          <w:szCs w:val="21"/>
        </w:rPr>
        <w:t xml:space="preserve">元整 </w:t>
      </w:r>
      <w:r>
        <w:rPr>
          <w:rFonts w:ascii="宋体" w:hAnsi="宋体"/>
          <w:color w:val="auto"/>
          <w:szCs w:val="21"/>
        </w:rPr>
        <w:t>[保证金金额]</w:t>
      </w:r>
      <w:r>
        <w:rPr>
          <w:rFonts w:hint="eastAsia" w:ascii="宋体" w:hAnsi="宋体"/>
          <w:color w:val="auto"/>
          <w:szCs w:val="21"/>
        </w:rPr>
        <w:t>（</w:t>
      </w:r>
      <w:r>
        <w:rPr>
          <w:rFonts w:ascii="宋体" w:hAnsi="宋体"/>
          <w:color w:val="auto"/>
          <w:szCs w:val="21"/>
        </w:rPr>
        <w:t>（</w:t>
      </w:r>
      <w:r>
        <w:rPr>
          <w:rFonts w:hint="eastAsia" w:ascii="宋体" w:hAnsi="宋体"/>
          <w:color w:val="auto"/>
          <w:szCs w:val="21"/>
        </w:rPr>
        <w:t>小</w:t>
      </w:r>
      <w:r>
        <w:rPr>
          <w:rFonts w:ascii="宋体" w:hAnsi="宋体"/>
          <w:color w:val="auto"/>
          <w:szCs w:val="21"/>
        </w:rPr>
        <w:t>写）</w:t>
      </w:r>
      <w:r>
        <w:rPr>
          <w:rFonts w:hint="eastAsia" w:ascii="宋体" w:hAnsi="宋体"/>
          <w:color w:val="auto"/>
          <w:szCs w:val="21"/>
        </w:rPr>
        <w:t>￥元）：</w:t>
      </w:r>
    </w:p>
    <w:p>
      <w:pPr>
        <w:spacing w:line="360" w:lineRule="auto"/>
        <w:ind w:firstLine="420" w:firstLineChars="200"/>
        <w:rPr>
          <w:rFonts w:ascii="宋体" w:hAnsi="宋体"/>
          <w:color w:val="auto"/>
          <w:szCs w:val="21"/>
        </w:rPr>
      </w:pPr>
      <w:r>
        <w:rPr>
          <w:rFonts w:ascii="宋体" w:hAnsi="宋体"/>
          <w:color w:val="auto"/>
          <w:szCs w:val="21"/>
        </w:rPr>
        <w:t>1.从</w:t>
      </w:r>
      <w:r>
        <w:rPr>
          <w:rFonts w:hint="eastAsia" w:ascii="宋体" w:hAnsi="宋体"/>
          <w:color w:val="auto"/>
          <w:szCs w:val="21"/>
        </w:rPr>
        <w:t>提交首次响应文件截止之日</w:t>
      </w:r>
      <w:r>
        <w:rPr>
          <w:rFonts w:ascii="宋体" w:hAnsi="宋体"/>
          <w:color w:val="auto"/>
          <w:szCs w:val="21"/>
        </w:rPr>
        <w:t>起到磋商有效期满前，供应商撤回</w:t>
      </w:r>
      <w:r>
        <w:rPr>
          <w:rFonts w:hint="eastAsia" w:ascii="宋体" w:hAnsi="宋体"/>
          <w:color w:val="auto"/>
          <w:szCs w:val="21"/>
        </w:rPr>
        <w:t>响应文件</w:t>
      </w:r>
      <w:r>
        <w:rPr>
          <w:rFonts w:ascii="宋体" w:hAnsi="宋体"/>
          <w:color w:val="auto"/>
          <w:szCs w:val="21"/>
        </w:rPr>
        <w:t>；</w:t>
      </w:r>
    </w:p>
    <w:p>
      <w:pPr>
        <w:spacing w:line="360" w:lineRule="auto"/>
        <w:ind w:firstLine="420" w:firstLineChars="200"/>
        <w:rPr>
          <w:rFonts w:ascii="宋体" w:hAnsi="宋体"/>
          <w:color w:val="auto"/>
          <w:szCs w:val="21"/>
        </w:rPr>
      </w:pPr>
      <w:r>
        <w:rPr>
          <w:rFonts w:ascii="宋体" w:hAnsi="宋体"/>
          <w:color w:val="auto"/>
          <w:szCs w:val="21"/>
        </w:rPr>
        <w:t>2.供应商未能按</w:t>
      </w:r>
      <w:r>
        <w:rPr>
          <w:rFonts w:hint="eastAsia" w:ascii="宋体" w:hAnsi="宋体"/>
          <w:color w:val="auto"/>
          <w:szCs w:val="21"/>
        </w:rPr>
        <w:t>中标通知书</w:t>
      </w:r>
      <w:r>
        <w:rPr>
          <w:rFonts w:ascii="宋体" w:hAnsi="宋体"/>
          <w:color w:val="auto"/>
          <w:szCs w:val="21"/>
        </w:rPr>
        <w:t>的要求与</w:t>
      </w:r>
      <w:r>
        <w:rPr>
          <w:rFonts w:hint="eastAsia" w:ascii="宋体" w:hAnsi="宋体"/>
          <w:color w:val="auto"/>
          <w:szCs w:val="21"/>
        </w:rPr>
        <w:t>采购人</w:t>
      </w:r>
      <w:r>
        <w:rPr>
          <w:rFonts w:ascii="宋体" w:hAnsi="宋体"/>
          <w:color w:val="auto"/>
          <w:szCs w:val="21"/>
        </w:rPr>
        <w:t>签订合同；</w:t>
      </w:r>
    </w:p>
    <w:p>
      <w:pPr>
        <w:spacing w:line="360" w:lineRule="auto"/>
        <w:ind w:firstLine="420" w:firstLineChars="200"/>
        <w:rPr>
          <w:rFonts w:ascii="宋体" w:hAnsi="宋体"/>
          <w:color w:val="auto"/>
          <w:szCs w:val="21"/>
        </w:rPr>
      </w:pPr>
      <w:r>
        <w:rPr>
          <w:rFonts w:ascii="宋体" w:hAnsi="宋体"/>
          <w:color w:val="auto"/>
          <w:szCs w:val="21"/>
        </w:rPr>
        <w:t>3.供应商未能及时按磋商文件</w:t>
      </w:r>
      <w:r>
        <w:rPr>
          <w:rFonts w:hint="eastAsia" w:ascii="宋体" w:hAnsi="宋体"/>
          <w:color w:val="auto"/>
          <w:szCs w:val="21"/>
        </w:rPr>
        <w:t>及中标通知书</w:t>
      </w:r>
      <w:r>
        <w:rPr>
          <w:rFonts w:ascii="宋体" w:hAnsi="宋体"/>
          <w:color w:val="auto"/>
          <w:szCs w:val="21"/>
        </w:rPr>
        <w:t>的要求交纳</w:t>
      </w:r>
      <w:r>
        <w:rPr>
          <w:rFonts w:hint="eastAsia" w:ascii="宋体" w:hAnsi="宋体"/>
          <w:color w:val="auto"/>
          <w:szCs w:val="21"/>
        </w:rPr>
        <w:t>招标代理</w:t>
      </w:r>
      <w:r>
        <w:rPr>
          <w:rFonts w:ascii="宋体" w:hAnsi="宋体"/>
          <w:color w:val="auto"/>
          <w:szCs w:val="21"/>
        </w:rPr>
        <w:t>服务费</w:t>
      </w:r>
      <w:r>
        <w:rPr>
          <w:rFonts w:hint="eastAsia" w:ascii="宋体" w:hAnsi="宋体"/>
          <w:color w:val="auto"/>
          <w:szCs w:val="21"/>
        </w:rPr>
        <w:t>；</w:t>
      </w:r>
    </w:p>
    <w:p>
      <w:pPr>
        <w:spacing w:line="360" w:lineRule="auto"/>
        <w:ind w:firstLine="420" w:firstLineChars="200"/>
        <w:rPr>
          <w:rFonts w:ascii="宋体" w:hAnsi="宋体" w:cs="Tahoma"/>
          <w:color w:val="auto"/>
          <w:szCs w:val="21"/>
        </w:rPr>
      </w:pPr>
      <w:r>
        <w:rPr>
          <w:rFonts w:ascii="宋体" w:hAnsi="宋体"/>
          <w:color w:val="auto"/>
          <w:szCs w:val="21"/>
        </w:rPr>
        <w:t>本保函自</w:t>
      </w:r>
      <w:r>
        <w:rPr>
          <w:rFonts w:hint="eastAsia" w:ascii="宋体" w:hAnsi="宋体"/>
          <w:color w:val="auto"/>
          <w:szCs w:val="21"/>
        </w:rPr>
        <w:t>出具之</w:t>
      </w:r>
      <w:r>
        <w:rPr>
          <w:rFonts w:ascii="宋体" w:hAnsi="宋体"/>
          <w:color w:val="auto"/>
          <w:szCs w:val="21"/>
        </w:rPr>
        <w:t>日起</w:t>
      </w:r>
      <w:r>
        <w:rPr>
          <w:rFonts w:hint="eastAsia" w:ascii="宋体" w:hAnsi="宋体"/>
          <w:color w:val="auto"/>
          <w:szCs w:val="21"/>
        </w:rPr>
        <w:t>至该磋商有效期满后30天内持续有效</w:t>
      </w:r>
      <w:r>
        <w:rPr>
          <w:rFonts w:ascii="宋体" w:hAnsi="宋体"/>
          <w:color w:val="auto"/>
          <w:szCs w:val="21"/>
        </w:rPr>
        <w:t>，除非贵方提前终止或解除本保函。</w:t>
      </w:r>
      <w:r>
        <w:rPr>
          <w:rFonts w:hint="eastAsia" w:ascii="宋体" w:hAnsi="宋体"/>
          <w:color w:val="auto"/>
          <w:szCs w:val="21"/>
        </w:rPr>
        <w:t>如果</w:t>
      </w:r>
      <w:r>
        <w:rPr>
          <w:rFonts w:ascii="宋体" w:hAnsi="宋体"/>
          <w:color w:val="auto"/>
          <w:szCs w:val="21"/>
        </w:rPr>
        <w:t>贵方和供应商同意需延长本保函有效期，</w:t>
      </w:r>
      <w:r>
        <w:rPr>
          <w:rFonts w:hint="eastAsia" w:ascii="宋体" w:hAnsi="宋体"/>
          <w:color w:val="auto"/>
          <w:szCs w:val="21"/>
        </w:rPr>
        <w:t>只需在到期日前书面</w:t>
      </w:r>
      <w:r>
        <w:rPr>
          <w:rFonts w:ascii="宋体" w:hAnsi="宋体"/>
          <w:color w:val="auto"/>
          <w:szCs w:val="21"/>
        </w:rPr>
        <w:t>通知本行</w:t>
      </w:r>
      <w:r>
        <w:rPr>
          <w:rFonts w:hint="eastAsia" w:ascii="宋体" w:hAnsi="宋体"/>
          <w:color w:val="auto"/>
          <w:szCs w:val="21"/>
        </w:rPr>
        <w:t>，</w:t>
      </w:r>
      <w:r>
        <w:rPr>
          <w:rFonts w:ascii="宋体" w:hAnsi="宋体"/>
          <w:color w:val="auto"/>
          <w:szCs w:val="21"/>
        </w:rPr>
        <w:t>本保函</w:t>
      </w:r>
      <w:r>
        <w:rPr>
          <w:rFonts w:hint="eastAsia" w:ascii="宋体" w:hAnsi="宋体"/>
          <w:color w:val="auto"/>
          <w:szCs w:val="21"/>
        </w:rPr>
        <w:t>在任何</w:t>
      </w:r>
      <w:r>
        <w:rPr>
          <w:rFonts w:ascii="宋体" w:hAnsi="宋体"/>
          <w:color w:val="auto"/>
          <w:szCs w:val="21"/>
        </w:rPr>
        <w:t>延长</w:t>
      </w:r>
      <w:r>
        <w:rPr>
          <w:rFonts w:hint="eastAsia" w:ascii="宋体" w:hAnsi="宋体"/>
          <w:color w:val="auto"/>
          <w:szCs w:val="21"/>
        </w:rPr>
        <w:t>的</w:t>
      </w:r>
      <w:r>
        <w:rPr>
          <w:rFonts w:ascii="宋体" w:hAnsi="宋体"/>
          <w:color w:val="auto"/>
          <w:szCs w:val="21"/>
        </w:rPr>
        <w:t>有效期</w:t>
      </w:r>
      <w:r>
        <w:rPr>
          <w:rFonts w:hint="eastAsia" w:ascii="宋体" w:hAnsi="宋体"/>
          <w:color w:val="auto"/>
          <w:szCs w:val="21"/>
        </w:rPr>
        <w:t>内保持有效。本保函适用于中华人民共和国法律并按其进行解释。</w:t>
      </w:r>
    </w:p>
    <w:p>
      <w:pPr>
        <w:pStyle w:val="7"/>
        <w:adjustRightInd w:val="0"/>
        <w:snapToGrid w:val="0"/>
        <w:rPr>
          <w:rFonts w:ascii="宋体" w:hAnsi="宋体" w:cs="Tahoma"/>
          <w:color w:val="auto"/>
          <w:szCs w:val="21"/>
        </w:rPr>
      </w:pPr>
    </w:p>
    <w:p>
      <w:pPr>
        <w:pStyle w:val="7"/>
        <w:adjustRightInd w:val="0"/>
        <w:snapToGrid w:val="0"/>
        <w:ind w:firstLine="0"/>
        <w:rPr>
          <w:rFonts w:ascii="宋体" w:hAnsi="宋体" w:cs="Tahoma"/>
          <w:color w:val="auto"/>
          <w:szCs w:val="21"/>
        </w:rPr>
      </w:pPr>
      <w:r>
        <w:rPr>
          <w:rFonts w:ascii="宋体" w:hAnsi="宋体" w:cs="Tahoma"/>
          <w:color w:val="auto"/>
          <w:szCs w:val="21"/>
        </w:rPr>
        <w:t>银行名称</w:t>
      </w:r>
      <w:r>
        <w:rPr>
          <w:rFonts w:hint="eastAsia" w:ascii="宋体" w:hAnsi="宋体" w:cs="Tahoma"/>
          <w:color w:val="auto"/>
          <w:szCs w:val="21"/>
        </w:rPr>
        <w:t>（打印）(</w:t>
      </w:r>
      <w:r>
        <w:rPr>
          <w:rFonts w:ascii="宋体" w:hAnsi="宋体" w:cs="Tahoma"/>
          <w:color w:val="auto"/>
          <w:szCs w:val="21"/>
        </w:rPr>
        <w:t>公章</w:t>
      </w:r>
      <w:r>
        <w:rPr>
          <w:rFonts w:hint="eastAsia" w:ascii="宋体" w:hAnsi="宋体" w:cs="Tahoma"/>
          <w:color w:val="auto"/>
          <w:szCs w:val="21"/>
        </w:rPr>
        <w:t>)</w:t>
      </w:r>
      <w:r>
        <w:rPr>
          <w:rFonts w:ascii="宋体" w:hAnsi="宋体" w:cs="Tahoma"/>
          <w:color w:val="auto"/>
          <w:szCs w:val="21"/>
        </w:rPr>
        <w:t>：</w:t>
      </w:r>
    </w:p>
    <w:p>
      <w:pPr>
        <w:pStyle w:val="2"/>
        <w:spacing w:line="360" w:lineRule="auto"/>
        <w:rPr>
          <w:color w:val="auto"/>
          <w:szCs w:val="21"/>
        </w:rPr>
      </w:pPr>
      <w:r>
        <w:rPr>
          <w:rFonts w:cs="Tahoma"/>
          <w:color w:val="auto"/>
          <w:szCs w:val="21"/>
        </w:rPr>
        <w:t>银行</w:t>
      </w:r>
      <w:r>
        <w:rPr>
          <w:rFonts w:hint="eastAsia" w:cs="Tahoma"/>
          <w:color w:val="auto"/>
          <w:szCs w:val="21"/>
        </w:rPr>
        <w:t>地址</w:t>
      </w:r>
      <w:r>
        <w:rPr>
          <w:rFonts w:cs="Tahoma"/>
          <w:color w:val="auto"/>
          <w:szCs w:val="21"/>
        </w:rPr>
        <w:t>：</w:t>
      </w:r>
      <w:r>
        <w:rPr>
          <w:rFonts w:hint="eastAsia" w:cs="Tahoma"/>
          <w:color w:val="auto"/>
          <w:szCs w:val="21"/>
        </w:rPr>
        <w:t xml:space="preserve">                                                邮政编码：</w:t>
      </w:r>
    </w:p>
    <w:p>
      <w:pPr>
        <w:pStyle w:val="2"/>
        <w:spacing w:line="360" w:lineRule="auto"/>
        <w:rPr>
          <w:color w:val="auto"/>
          <w:szCs w:val="21"/>
        </w:rPr>
      </w:pPr>
      <w:r>
        <w:rPr>
          <w:rFonts w:hint="eastAsia"/>
          <w:color w:val="auto"/>
          <w:szCs w:val="21"/>
        </w:rPr>
        <w:t>联系电话：                                                传真号：</w:t>
      </w:r>
    </w:p>
    <w:p>
      <w:pPr>
        <w:pStyle w:val="2"/>
        <w:spacing w:line="360" w:lineRule="auto"/>
        <w:rPr>
          <w:rFonts w:cs="Tahoma"/>
          <w:color w:val="auto"/>
          <w:szCs w:val="21"/>
        </w:rPr>
      </w:pPr>
      <w:r>
        <w:rPr>
          <w:rFonts w:hint="eastAsia" w:cs="Tahoma"/>
          <w:color w:val="auto"/>
          <w:szCs w:val="21"/>
        </w:rPr>
        <w:t>法定代表人或其授权的代理人亲笔签字：</w:t>
      </w:r>
    </w:p>
    <w:p>
      <w:pPr>
        <w:pStyle w:val="2"/>
        <w:spacing w:line="360" w:lineRule="auto"/>
        <w:rPr>
          <w:color w:val="auto"/>
          <w:szCs w:val="21"/>
        </w:rPr>
      </w:pPr>
      <w:r>
        <w:rPr>
          <w:rFonts w:hint="eastAsia" w:cs="Tahoma"/>
          <w:color w:val="auto"/>
          <w:szCs w:val="21"/>
        </w:rPr>
        <w:t>法定代表人或其授权的代理人</w:t>
      </w:r>
      <w:r>
        <w:rPr>
          <w:rFonts w:cs="Tahoma"/>
          <w:color w:val="auto"/>
          <w:szCs w:val="21"/>
        </w:rPr>
        <w:t>姓名和职务</w:t>
      </w:r>
      <w:r>
        <w:rPr>
          <w:rFonts w:hint="eastAsia" w:cs="Tahoma"/>
          <w:color w:val="auto"/>
          <w:szCs w:val="21"/>
        </w:rPr>
        <w:t>（打印）</w:t>
      </w:r>
      <w:r>
        <w:rPr>
          <w:rFonts w:cs="Tahoma"/>
          <w:color w:val="auto"/>
          <w:szCs w:val="21"/>
        </w:rPr>
        <w:t>：</w:t>
      </w:r>
      <w:r>
        <w:rPr>
          <w:rFonts w:hint="eastAsia" w:cs="Tahoma"/>
          <w:color w:val="auto"/>
          <w:szCs w:val="21"/>
        </w:rPr>
        <w:t>姓名职务</w:t>
      </w:r>
    </w:p>
    <w:p>
      <w:pPr>
        <w:pStyle w:val="4"/>
        <w:keepNext w:val="0"/>
        <w:keepLines w:val="0"/>
        <w:numPr>
          <w:ilvl w:val="1"/>
          <w:numId w:val="35"/>
        </w:numPr>
        <w:tabs>
          <w:tab w:val="left" w:pos="567"/>
        </w:tabs>
        <w:jc w:val="center"/>
        <w:rPr>
          <w:rFonts w:hAnsi="宋体"/>
          <w:color w:val="auto"/>
          <w:sz w:val="21"/>
          <w:szCs w:val="21"/>
        </w:rPr>
      </w:pPr>
      <w:bookmarkStart w:id="469" w:name="_Toc426557889"/>
      <w:r>
        <w:rPr>
          <w:rFonts w:hAnsi="宋体"/>
          <w:color w:val="auto"/>
          <w:sz w:val="21"/>
          <w:szCs w:val="21"/>
        </w:rPr>
        <w:br w:type="page"/>
      </w:r>
      <w:bookmarkStart w:id="470" w:name="_Toc15409"/>
      <w:bookmarkStart w:id="471" w:name="_Toc3288"/>
      <w:bookmarkStart w:id="472" w:name="_Toc469663709"/>
      <w:bookmarkStart w:id="473" w:name="_Toc18935150"/>
      <w:bookmarkStart w:id="474" w:name="_Toc2615"/>
      <w:bookmarkStart w:id="475" w:name="_Toc2490"/>
      <w:bookmarkStart w:id="476" w:name="_Toc7793"/>
      <w:bookmarkStart w:id="477" w:name="_Toc18935008"/>
      <w:bookmarkStart w:id="478" w:name="_Toc22847"/>
      <w:r>
        <w:rPr>
          <w:rFonts w:hint="eastAsia" w:hAnsi="宋体"/>
          <w:color w:val="auto"/>
          <w:sz w:val="21"/>
          <w:szCs w:val="21"/>
        </w:rPr>
        <w:t>政府采购磋商担保函</w:t>
      </w:r>
      <w:bookmarkEnd w:id="469"/>
      <w:r>
        <w:rPr>
          <w:rFonts w:hint="eastAsia" w:hAnsi="宋体"/>
          <w:color w:val="auto"/>
          <w:sz w:val="21"/>
          <w:szCs w:val="21"/>
        </w:rPr>
        <w:t>（已缴纳磋商保证金的，无需提供磋商担保函）</w:t>
      </w:r>
      <w:bookmarkEnd w:id="470"/>
      <w:bookmarkEnd w:id="471"/>
      <w:bookmarkEnd w:id="472"/>
      <w:bookmarkEnd w:id="473"/>
      <w:bookmarkEnd w:id="474"/>
      <w:bookmarkEnd w:id="475"/>
      <w:bookmarkEnd w:id="476"/>
      <w:bookmarkEnd w:id="477"/>
      <w:bookmarkEnd w:id="478"/>
    </w:p>
    <w:p>
      <w:pPr>
        <w:spacing w:line="360" w:lineRule="auto"/>
        <w:rPr>
          <w:rFonts w:ascii="宋体" w:hAnsi="宋体"/>
          <w:color w:val="auto"/>
          <w:szCs w:val="21"/>
        </w:rPr>
      </w:pPr>
      <w:r>
        <w:rPr>
          <w:rFonts w:hint="eastAsia" w:ascii="宋体" w:hAnsi="宋体"/>
          <w:color w:val="auto"/>
          <w:szCs w:val="21"/>
        </w:rPr>
        <w:t>（采购人或采购代理机构）：</w:t>
      </w:r>
    </w:p>
    <w:p>
      <w:pPr>
        <w:spacing w:line="360" w:lineRule="auto"/>
        <w:ind w:firstLine="420" w:firstLineChars="200"/>
        <w:rPr>
          <w:rFonts w:ascii="宋体" w:hAnsi="宋体"/>
          <w:color w:val="auto"/>
          <w:szCs w:val="21"/>
        </w:rPr>
      </w:pPr>
      <w:r>
        <w:rPr>
          <w:rFonts w:hint="eastAsia" w:ascii="宋体" w:hAnsi="宋体"/>
          <w:color w:val="auto"/>
          <w:szCs w:val="21"/>
        </w:rPr>
        <w:t>鉴于（以下简称‘供应商’）拟参加 （项目编号：）（以下简称‘本项目’）磋商，根据本项目磋商文件，供应商参加磋商时应向贵方交纳磋商保证金，且可以磋商担保函的形式交纳磋商保证金。应供应商的申请，我方以保证的方式向贵方提供如下磋商保证金担保：</w:t>
      </w:r>
    </w:p>
    <w:p>
      <w:pPr>
        <w:spacing w:line="360" w:lineRule="auto"/>
        <w:ind w:firstLine="420" w:firstLineChars="200"/>
        <w:rPr>
          <w:rFonts w:ascii="宋体" w:hAnsi="宋体"/>
          <w:color w:val="auto"/>
          <w:szCs w:val="21"/>
        </w:rPr>
      </w:pPr>
      <w:r>
        <w:rPr>
          <w:rFonts w:hint="eastAsia" w:ascii="宋体" w:hAnsi="宋体"/>
          <w:color w:val="auto"/>
          <w:szCs w:val="21"/>
        </w:rPr>
        <w:t>一、保证责任的情形及保证金额</w:t>
      </w:r>
    </w:p>
    <w:p>
      <w:pPr>
        <w:spacing w:line="360" w:lineRule="auto"/>
        <w:ind w:firstLine="210" w:firstLineChars="100"/>
        <w:rPr>
          <w:rFonts w:ascii="宋体" w:hAnsi="宋体"/>
          <w:color w:val="auto"/>
          <w:szCs w:val="21"/>
        </w:rPr>
      </w:pPr>
      <w:r>
        <w:rPr>
          <w:rFonts w:hint="eastAsia" w:ascii="宋体" w:hAnsi="宋体"/>
          <w:color w:val="auto"/>
          <w:szCs w:val="21"/>
        </w:rPr>
        <w:t>（一）在供应商出现下列情形之一时，我方承担保证责任：</w:t>
      </w:r>
    </w:p>
    <w:p>
      <w:pPr>
        <w:spacing w:line="360" w:lineRule="auto"/>
        <w:ind w:firstLine="420" w:firstLineChars="200"/>
        <w:rPr>
          <w:rFonts w:ascii="宋体" w:hAnsi="宋体"/>
          <w:color w:val="auto"/>
          <w:szCs w:val="21"/>
        </w:rPr>
      </w:pPr>
      <w:r>
        <w:rPr>
          <w:rFonts w:hint="eastAsia" w:ascii="宋体" w:hAnsi="宋体"/>
          <w:color w:val="auto"/>
          <w:szCs w:val="21"/>
        </w:rPr>
        <w:t>1．获得成交资格后供应商无正当理由不与采购人或者采购代理机构签订《政府采购合同》；</w:t>
      </w:r>
    </w:p>
    <w:p>
      <w:pPr>
        <w:spacing w:line="360" w:lineRule="auto"/>
        <w:ind w:firstLine="420" w:firstLineChars="200"/>
        <w:rPr>
          <w:rFonts w:ascii="宋体" w:hAnsi="宋体"/>
          <w:color w:val="auto"/>
          <w:szCs w:val="21"/>
        </w:rPr>
      </w:pPr>
      <w:r>
        <w:rPr>
          <w:rFonts w:hint="eastAsia" w:ascii="宋体" w:hAnsi="宋体"/>
          <w:color w:val="auto"/>
          <w:szCs w:val="21"/>
        </w:rPr>
        <w:t>2．磋商文件规定的供应商应当缴纳保证金的其他情形。</w:t>
      </w:r>
    </w:p>
    <w:p>
      <w:pPr>
        <w:spacing w:line="360" w:lineRule="auto"/>
        <w:ind w:firstLine="210" w:firstLineChars="100"/>
        <w:rPr>
          <w:rFonts w:ascii="宋体" w:hAnsi="宋体"/>
          <w:color w:val="auto"/>
          <w:szCs w:val="21"/>
        </w:rPr>
      </w:pPr>
      <w:r>
        <w:rPr>
          <w:rFonts w:hint="eastAsia" w:ascii="宋体" w:hAnsi="宋体"/>
          <w:color w:val="auto"/>
          <w:szCs w:val="21"/>
        </w:rPr>
        <w:t>（二）我方承担保证责任的最高金额为人民币元（大写），即本项目的磋商保证金金额。</w:t>
      </w:r>
    </w:p>
    <w:p>
      <w:pPr>
        <w:spacing w:line="360" w:lineRule="auto"/>
        <w:ind w:firstLine="420" w:firstLineChars="200"/>
        <w:rPr>
          <w:rFonts w:ascii="宋体" w:hAnsi="宋体"/>
          <w:color w:val="auto"/>
          <w:szCs w:val="21"/>
        </w:rPr>
      </w:pPr>
      <w:r>
        <w:rPr>
          <w:rFonts w:hint="eastAsia" w:ascii="宋体" w:hAnsi="宋体"/>
          <w:color w:val="auto"/>
          <w:szCs w:val="21"/>
        </w:rPr>
        <w:t>二、保证的方式及保证期间</w:t>
      </w:r>
    </w:p>
    <w:p>
      <w:pPr>
        <w:spacing w:line="360" w:lineRule="auto"/>
        <w:ind w:firstLine="420" w:firstLineChars="200"/>
        <w:rPr>
          <w:rFonts w:ascii="宋体" w:hAnsi="宋体"/>
          <w:color w:val="auto"/>
          <w:szCs w:val="21"/>
        </w:rPr>
      </w:pPr>
      <w:r>
        <w:rPr>
          <w:rFonts w:hint="eastAsia" w:ascii="宋体" w:hAnsi="宋体"/>
          <w:color w:val="auto"/>
          <w:szCs w:val="21"/>
        </w:rPr>
        <w:t>我方保证的方式为：连带责任保证。</w:t>
      </w:r>
    </w:p>
    <w:p>
      <w:pPr>
        <w:spacing w:line="360" w:lineRule="auto"/>
        <w:ind w:firstLine="420" w:firstLineChars="200"/>
        <w:rPr>
          <w:rFonts w:ascii="宋体" w:hAnsi="宋体"/>
          <w:color w:val="auto"/>
          <w:szCs w:val="21"/>
        </w:rPr>
      </w:pPr>
      <w:r>
        <w:rPr>
          <w:rFonts w:hint="eastAsia" w:ascii="宋体" w:hAnsi="宋体"/>
          <w:color w:val="auto"/>
          <w:szCs w:val="21"/>
        </w:rPr>
        <w:t>我方的保证期间为：自本保函生效之日起个月止。</w:t>
      </w:r>
    </w:p>
    <w:p>
      <w:pPr>
        <w:spacing w:line="360" w:lineRule="auto"/>
        <w:ind w:firstLine="420" w:firstLineChars="200"/>
        <w:rPr>
          <w:rFonts w:ascii="宋体" w:hAnsi="宋体"/>
          <w:color w:val="auto"/>
          <w:szCs w:val="21"/>
        </w:rPr>
      </w:pPr>
      <w:r>
        <w:rPr>
          <w:rFonts w:hint="eastAsia" w:ascii="宋体" w:hAnsi="宋体"/>
          <w:color w:val="auto"/>
          <w:szCs w:val="21"/>
        </w:rPr>
        <w:t>三、承担保证责任的程序</w:t>
      </w:r>
    </w:p>
    <w:p>
      <w:pPr>
        <w:spacing w:line="360" w:lineRule="auto"/>
        <w:ind w:firstLine="420" w:firstLineChars="200"/>
        <w:rPr>
          <w:rFonts w:ascii="宋体" w:hAnsi="宋体"/>
          <w:color w:val="auto"/>
          <w:szCs w:val="21"/>
        </w:rPr>
      </w:pPr>
      <w:r>
        <w:rPr>
          <w:rFonts w:hint="eastAsia" w:ascii="宋体" w:hAnsi="宋体"/>
          <w:color w:val="auto"/>
          <w:szCs w:val="21"/>
        </w:rPr>
        <w:t>1．贵方要求我方承担保证责任的，应在本保函保证期间内向我方发出书面索赔通知。索赔通知应写明要求索赔的金额，支付款项应到达的账号，并附有证明供应商发生我方应承担保证责任情形的事实材料。</w:t>
      </w:r>
    </w:p>
    <w:p>
      <w:pPr>
        <w:spacing w:line="360" w:lineRule="auto"/>
        <w:ind w:firstLine="420" w:firstLineChars="200"/>
        <w:rPr>
          <w:rFonts w:ascii="宋体" w:hAnsi="宋体"/>
          <w:color w:val="auto"/>
          <w:szCs w:val="21"/>
        </w:rPr>
      </w:pPr>
      <w:r>
        <w:rPr>
          <w:rFonts w:hint="eastAsia" w:ascii="宋体" w:hAnsi="宋体"/>
          <w:color w:val="auto"/>
          <w:szCs w:val="21"/>
        </w:rPr>
        <w:t>2．我方在收到索赔通知及相关证明材料后，在</w:t>
      </w:r>
      <w:r>
        <w:rPr>
          <w:rFonts w:hint="eastAsia" w:ascii="宋体" w:hAnsi="宋体"/>
          <w:color w:val="auto"/>
          <w:szCs w:val="21"/>
          <w:u w:val="single"/>
        </w:rPr>
        <w:t>　　　</w:t>
      </w:r>
      <w:r>
        <w:rPr>
          <w:rFonts w:hint="eastAsia" w:ascii="宋体" w:hAnsi="宋体"/>
          <w:color w:val="auto"/>
          <w:szCs w:val="21"/>
        </w:rPr>
        <w:t>个工作日内进行审查，符合应承担保证责任情形的，我方应按照贵方的要求代供应商向贵方支付磋商保证金。</w:t>
      </w:r>
    </w:p>
    <w:p>
      <w:pPr>
        <w:spacing w:line="360" w:lineRule="auto"/>
        <w:ind w:firstLine="420" w:firstLineChars="200"/>
        <w:rPr>
          <w:rFonts w:ascii="宋体" w:hAnsi="宋体"/>
          <w:color w:val="auto"/>
          <w:szCs w:val="21"/>
        </w:rPr>
      </w:pPr>
      <w:r>
        <w:rPr>
          <w:rFonts w:hint="eastAsia" w:ascii="宋体" w:hAnsi="宋体"/>
          <w:color w:val="auto"/>
          <w:szCs w:val="21"/>
        </w:rPr>
        <w:t>四、保证责任的终止</w:t>
      </w:r>
    </w:p>
    <w:p>
      <w:pPr>
        <w:spacing w:line="360" w:lineRule="auto"/>
        <w:ind w:firstLine="420" w:firstLineChars="200"/>
        <w:rPr>
          <w:rFonts w:ascii="宋体" w:hAnsi="宋体"/>
          <w:color w:val="auto"/>
          <w:szCs w:val="21"/>
        </w:rPr>
      </w:pPr>
      <w:r>
        <w:rPr>
          <w:rFonts w:hint="eastAsia" w:ascii="宋体" w:hAnsi="宋体"/>
          <w:color w:val="auto"/>
          <w:szCs w:val="21"/>
        </w:rPr>
        <w:t>1．保证期间届满贵方未向我方书面主张保证责任的，自保证期间届满次日起，我方保证责任自动终止。</w:t>
      </w:r>
    </w:p>
    <w:p>
      <w:pPr>
        <w:spacing w:line="360" w:lineRule="auto"/>
        <w:ind w:firstLine="420" w:firstLineChars="200"/>
        <w:rPr>
          <w:rFonts w:ascii="宋体" w:hAnsi="宋体"/>
          <w:color w:val="auto"/>
          <w:szCs w:val="21"/>
        </w:rPr>
      </w:pPr>
      <w:r>
        <w:rPr>
          <w:rFonts w:hint="eastAsia" w:ascii="宋体" w:hAnsi="宋体"/>
          <w:color w:val="auto"/>
          <w:szCs w:val="21"/>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color w:val="auto"/>
          <w:szCs w:val="21"/>
        </w:rPr>
      </w:pPr>
      <w:r>
        <w:rPr>
          <w:rFonts w:hint="eastAsia" w:ascii="宋体" w:hAnsi="宋体"/>
          <w:color w:val="auto"/>
          <w:szCs w:val="21"/>
        </w:rPr>
        <w:t>3．按照法律法规的规定或出现我方保证责任终止的其它情形的，我方在本保函项下的保证责任亦终止。</w:t>
      </w:r>
    </w:p>
    <w:p>
      <w:pPr>
        <w:spacing w:line="360" w:lineRule="auto"/>
        <w:ind w:firstLine="420" w:firstLineChars="200"/>
        <w:rPr>
          <w:rFonts w:ascii="宋体" w:hAnsi="宋体"/>
          <w:color w:val="auto"/>
          <w:szCs w:val="21"/>
        </w:rPr>
      </w:pPr>
      <w:r>
        <w:rPr>
          <w:rFonts w:hint="eastAsia" w:ascii="宋体" w:hAnsi="宋体"/>
          <w:color w:val="auto"/>
          <w:szCs w:val="21"/>
        </w:rPr>
        <w:t>五、免责条款</w:t>
      </w:r>
    </w:p>
    <w:p>
      <w:pPr>
        <w:spacing w:line="360" w:lineRule="auto"/>
        <w:ind w:firstLine="420" w:firstLineChars="200"/>
        <w:rPr>
          <w:rFonts w:ascii="宋体" w:hAnsi="宋体"/>
          <w:color w:val="auto"/>
          <w:szCs w:val="21"/>
        </w:rPr>
      </w:pPr>
      <w:r>
        <w:rPr>
          <w:rFonts w:hint="eastAsia" w:ascii="宋体" w:hAnsi="宋体"/>
          <w:color w:val="auto"/>
          <w:szCs w:val="21"/>
        </w:rPr>
        <w:t>1．依照法律规定或贵方与供应商的另行约定，全部或者部分免除供应商磋商保证金义务时，我方亦免除相应的保证责任。</w:t>
      </w:r>
    </w:p>
    <w:p>
      <w:pPr>
        <w:spacing w:line="360" w:lineRule="auto"/>
        <w:ind w:firstLine="420" w:firstLineChars="200"/>
        <w:rPr>
          <w:rFonts w:ascii="宋体" w:hAnsi="宋体"/>
          <w:color w:val="auto"/>
          <w:szCs w:val="21"/>
        </w:rPr>
      </w:pPr>
      <w:r>
        <w:rPr>
          <w:rFonts w:hint="eastAsia" w:ascii="宋体" w:hAnsi="宋体"/>
          <w:color w:val="auto"/>
          <w:szCs w:val="21"/>
        </w:rPr>
        <w:t>2．因贵方原因致使供应商发生本保函第一条第（一）款约定情形的，我方不承担保证责任。</w:t>
      </w:r>
    </w:p>
    <w:p>
      <w:pPr>
        <w:spacing w:line="360" w:lineRule="auto"/>
        <w:ind w:firstLine="420" w:firstLineChars="200"/>
        <w:rPr>
          <w:rFonts w:ascii="宋体" w:hAnsi="宋体"/>
          <w:color w:val="auto"/>
          <w:szCs w:val="21"/>
        </w:rPr>
      </w:pPr>
      <w:r>
        <w:rPr>
          <w:rFonts w:hint="eastAsia" w:ascii="宋体" w:hAnsi="宋体"/>
          <w:color w:val="auto"/>
          <w:szCs w:val="21"/>
        </w:rPr>
        <w:t>3．因不可抗力造成供应商发生本保函第一条约定情形的，我方不承担保证责任。</w:t>
      </w:r>
    </w:p>
    <w:p>
      <w:pPr>
        <w:spacing w:line="360" w:lineRule="auto"/>
        <w:ind w:firstLine="420" w:firstLineChars="200"/>
        <w:rPr>
          <w:rFonts w:ascii="宋体" w:hAnsi="宋体"/>
          <w:color w:val="auto"/>
          <w:szCs w:val="21"/>
        </w:rPr>
      </w:pPr>
      <w:r>
        <w:rPr>
          <w:rFonts w:hint="eastAsia" w:ascii="宋体" w:hAnsi="宋体"/>
          <w:color w:val="auto"/>
          <w:szCs w:val="21"/>
        </w:rPr>
        <w:t>4．贵方或其他有权机关对磋商文件进行任何澄清或修改，加重我方保证责任的，我方对加重部分不承担保证责任，但该澄清或修改经我方事先书面同意的除外。</w:t>
      </w:r>
    </w:p>
    <w:p>
      <w:pPr>
        <w:spacing w:line="360" w:lineRule="auto"/>
        <w:ind w:firstLine="420" w:firstLineChars="200"/>
        <w:rPr>
          <w:rFonts w:ascii="宋体" w:hAnsi="宋体"/>
          <w:color w:val="auto"/>
          <w:szCs w:val="21"/>
        </w:rPr>
      </w:pPr>
      <w:r>
        <w:rPr>
          <w:rFonts w:hint="eastAsia" w:ascii="宋体" w:hAnsi="宋体"/>
          <w:color w:val="auto"/>
          <w:szCs w:val="21"/>
        </w:rPr>
        <w:t>六、争议的解决</w:t>
      </w:r>
    </w:p>
    <w:p>
      <w:pPr>
        <w:spacing w:line="360" w:lineRule="auto"/>
        <w:ind w:firstLine="420" w:firstLineChars="200"/>
        <w:rPr>
          <w:rFonts w:ascii="宋体" w:hAnsi="宋体"/>
          <w:color w:val="auto"/>
          <w:szCs w:val="21"/>
        </w:rPr>
      </w:pPr>
      <w:r>
        <w:rPr>
          <w:rFonts w:hint="eastAsia" w:ascii="宋体" w:hAnsi="宋体"/>
          <w:color w:val="auto"/>
          <w:szCs w:val="21"/>
        </w:rPr>
        <w:t>因本保函发生的纠纷，由你我双方协商解决，协商不成的，通过诉讼程序解决，诉讼管辖地法院为法院。</w:t>
      </w:r>
    </w:p>
    <w:p>
      <w:pPr>
        <w:spacing w:line="360" w:lineRule="auto"/>
        <w:ind w:firstLine="420" w:firstLineChars="200"/>
        <w:rPr>
          <w:rFonts w:ascii="宋体" w:hAnsi="宋体"/>
          <w:color w:val="auto"/>
          <w:szCs w:val="21"/>
        </w:rPr>
      </w:pPr>
      <w:r>
        <w:rPr>
          <w:rFonts w:hint="eastAsia" w:ascii="宋体" w:hAnsi="宋体"/>
          <w:color w:val="auto"/>
          <w:szCs w:val="21"/>
        </w:rPr>
        <w:t>七、保函的生效</w:t>
      </w:r>
    </w:p>
    <w:p>
      <w:pPr>
        <w:spacing w:line="360" w:lineRule="auto"/>
        <w:ind w:firstLine="420" w:firstLineChars="200"/>
        <w:rPr>
          <w:rFonts w:ascii="宋体" w:hAnsi="宋体"/>
          <w:color w:val="auto"/>
          <w:szCs w:val="21"/>
        </w:rPr>
      </w:pPr>
      <w:r>
        <w:rPr>
          <w:rFonts w:hint="eastAsia" w:ascii="宋体" w:hAnsi="宋体"/>
          <w:color w:val="auto"/>
          <w:szCs w:val="21"/>
        </w:rPr>
        <w:t>本保函自我方加盖公章之日起生效。</w:t>
      </w:r>
    </w:p>
    <w:p>
      <w:pPr>
        <w:spacing w:line="360" w:lineRule="auto"/>
        <w:ind w:firstLine="5565" w:firstLineChars="2650"/>
        <w:rPr>
          <w:rFonts w:ascii="宋体" w:hAnsi="宋体"/>
          <w:color w:val="auto"/>
          <w:szCs w:val="21"/>
        </w:rPr>
      </w:pPr>
    </w:p>
    <w:p>
      <w:pPr>
        <w:spacing w:line="360" w:lineRule="auto"/>
        <w:ind w:firstLine="5565" w:firstLineChars="2650"/>
        <w:rPr>
          <w:rFonts w:ascii="宋体" w:hAnsi="宋体"/>
          <w:color w:val="auto"/>
          <w:szCs w:val="21"/>
        </w:rPr>
      </w:pPr>
      <w:r>
        <w:rPr>
          <w:rFonts w:hint="eastAsia" w:ascii="宋体" w:hAnsi="宋体"/>
          <w:color w:val="auto"/>
          <w:szCs w:val="21"/>
        </w:rPr>
        <w:t>保证人：（公章）</w:t>
      </w:r>
    </w:p>
    <w:p>
      <w:pPr>
        <w:spacing w:line="360" w:lineRule="auto"/>
        <w:ind w:firstLine="6378" w:firstLineChars="3037"/>
        <w:rPr>
          <w:rFonts w:ascii="宋体" w:hAnsi="宋体"/>
          <w:color w:val="auto"/>
          <w:szCs w:val="21"/>
        </w:rPr>
      </w:pPr>
      <w:r>
        <w:rPr>
          <w:rFonts w:hint="eastAsia" w:ascii="宋体" w:hAnsi="宋体"/>
          <w:color w:val="auto"/>
          <w:szCs w:val="21"/>
        </w:rPr>
        <w:t>年    月     日</w:t>
      </w:r>
    </w:p>
    <w:p>
      <w:pPr>
        <w:spacing w:line="360" w:lineRule="auto"/>
        <w:rPr>
          <w:rFonts w:ascii="宋体" w:hAnsi="宋体"/>
          <w:b/>
          <w:color w:val="auto"/>
          <w:szCs w:val="21"/>
        </w:rPr>
      </w:pPr>
      <w:r>
        <w:rPr>
          <w:rFonts w:hint="eastAsia" w:ascii="宋体" w:hAnsi="宋体"/>
          <w:b/>
          <w:color w:val="auto"/>
          <w:szCs w:val="21"/>
        </w:rPr>
        <w:t>备注：此为政府采购磋商担保函样本，仅供参考。供应商可根据实际情况自行提供，但不能偏离且不限于以上实质性内容！</w:t>
      </w:r>
    </w:p>
    <w:p>
      <w:pPr>
        <w:spacing w:line="360" w:lineRule="auto"/>
        <w:ind w:left="748" w:hanging="567"/>
        <w:rPr>
          <w:rFonts w:ascii="宋体" w:hAnsi="宋体" w:cs="Arial"/>
          <w:color w:val="auto"/>
          <w:szCs w:val="21"/>
        </w:rPr>
      </w:pPr>
    </w:p>
    <w:p>
      <w:pPr>
        <w:pStyle w:val="4"/>
        <w:keepNext w:val="0"/>
        <w:keepLines w:val="0"/>
        <w:numPr>
          <w:ilvl w:val="1"/>
          <w:numId w:val="35"/>
        </w:numPr>
        <w:tabs>
          <w:tab w:val="left" w:pos="567"/>
        </w:tabs>
        <w:jc w:val="center"/>
        <w:rPr>
          <w:rFonts w:hAnsi="宋体"/>
          <w:color w:val="auto"/>
          <w:sz w:val="21"/>
          <w:szCs w:val="21"/>
        </w:rPr>
      </w:pPr>
      <w:bookmarkStart w:id="479" w:name="_Toc426557891"/>
      <w:r>
        <w:rPr>
          <w:rFonts w:hAnsi="宋体"/>
          <w:color w:val="auto"/>
          <w:sz w:val="21"/>
          <w:szCs w:val="21"/>
        </w:rPr>
        <w:br w:type="page"/>
      </w:r>
      <w:bookmarkStart w:id="480" w:name="_Toc18935009"/>
      <w:bookmarkStart w:id="481" w:name="_Toc32262"/>
      <w:bookmarkStart w:id="482" w:name="_Toc469663710"/>
      <w:bookmarkStart w:id="483" w:name="_Toc2709"/>
      <w:bookmarkStart w:id="484" w:name="_Toc1822"/>
      <w:bookmarkStart w:id="485" w:name="_Toc10193"/>
      <w:bookmarkStart w:id="486" w:name="_Toc18935151"/>
      <w:bookmarkStart w:id="487" w:name="_Toc4852"/>
      <w:bookmarkStart w:id="488" w:name="_Toc9321"/>
      <w:r>
        <w:rPr>
          <w:rFonts w:hint="eastAsia" w:hAnsi="宋体"/>
          <w:color w:val="auto"/>
          <w:sz w:val="21"/>
          <w:szCs w:val="21"/>
        </w:rPr>
        <w:t>联合体共同磋商协议书（如联合体参与磋商，需提供）</w:t>
      </w:r>
      <w:bookmarkEnd w:id="479"/>
      <w:bookmarkEnd w:id="480"/>
      <w:bookmarkEnd w:id="481"/>
      <w:bookmarkEnd w:id="482"/>
      <w:bookmarkEnd w:id="483"/>
      <w:bookmarkEnd w:id="484"/>
      <w:bookmarkEnd w:id="485"/>
      <w:bookmarkEnd w:id="486"/>
      <w:bookmarkEnd w:id="487"/>
      <w:bookmarkEnd w:id="488"/>
    </w:p>
    <w:p>
      <w:pPr>
        <w:spacing w:line="360" w:lineRule="auto"/>
        <w:ind w:firstLine="525" w:firstLineChars="250"/>
        <w:rPr>
          <w:color w:val="auto"/>
          <w:szCs w:val="21"/>
        </w:rPr>
      </w:pPr>
      <w:r>
        <w:rPr>
          <w:rFonts w:hint="eastAsia" w:ascii="宋体" w:hAnsi="宋体"/>
          <w:color w:val="auto"/>
          <w:szCs w:val="21"/>
          <w:u w:val="single"/>
        </w:rPr>
        <w:t xml:space="preserve">   （联合体各方名称）   </w:t>
      </w:r>
      <w:r>
        <w:rPr>
          <w:rFonts w:hint="eastAsia" w:ascii="宋体" w:hAnsi="宋体"/>
          <w:color w:val="auto"/>
          <w:szCs w:val="21"/>
        </w:rPr>
        <w:t>在（项目编号：）</w:t>
      </w:r>
      <w:r>
        <w:rPr>
          <w:rFonts w:hint="eastAsia"/>
          <w:color w:val="auto"/>
          <w:szCs w:val="21"/>
        </w:rPr>
        <w:t>中组成联合体，共同参加磋商。就本项目有关事宜，经各方充分协商一致，达成如下协议：</w:t>
      </w:r>
    </w:p>
    <w:p>
      <w:pPr>
        <w:numPr>
          <w:ilvl w:val="0"/>
          <w:numId w:val="37"/>
        </w:numPr>
        <w:tabs>
          <w:tab w:val="left" w:pos="420"/>
        </w:tabs>
        <w:spacing w:line="360" w:lineRule="auto"/>
        <w:rPr>
          <w:color w:val="auto"/>
          <w:szCs w:val="21"/>
        </w:rPr>
      </w:pPr>
      <w:r>
        <w:rPr>
          <w:rFonts w:hint="eastAsia"/>
          <w:color w:val="auto"/>
          <w:szCs w:val="21"/>
        </w:rPr>
        <w:t>由为本次磋商联合体主体方，为协办方，组成联合体共同进行本项目的磋商工作。</w:t>
      </w:r>
    </w:p>
    <w:p>
      <w:pPr>
        <w:numPr>
          <w:ilvl w:val="0"/>
          <w:numId w:val="37"/>
        </w:numPr>
        <w:tabs>
          <w:tab w:val="left" w:pos="420"/>
        </w:tabs>
        <w:spacing w:line="360" w:lineRule="auto"/>
        <w:rPr>
          <w:color w:val="auto"/>
          <w:szCs w:val="21"/>
        </w:rPr>
      </w:pPr>
      <w:r>
        <w:rPr>
          <w:rFonts w:hint="eastAsia"/>
          <w:color w:val="auto"/>
          <w:szCs w:val="21"/>
        </w:rPr>
        <w:t>联合体以一个供应商的身份共同参加本项目的磋商，成交后，联合体各方共同与采购人签订合同，就本项目对采购人承担连带责任。</w:t>
      </w:r>
    </w:p>
    <w:p>
      <w:pPr>
        <w:numPr>
          <w:ilvl w:val="0"/>
          <w:numId w:val="37"/>
        </w:numPr>
        <w:tabs>
          <w:tab w:val="left" w:pos="420"/>
        </w:tabs>
        <w:spacing w:line="360" w:lineRule="auto"/>
        <w:rPr>
          <w:color w:val="auto"/>
          <w:szCs w:val="21"/>
        </w:rPr>
      </w:pPr>
      <w:r>
        <w:rPr>
          <w:rFonts w:hint="eastAsia"/>
          <w:color w:val="auto"/>
          <w:szCs w:val="21"/>
        </w:rPr>
        <w:t>联合体授权主体方负责本项目的一切组织、协调工作，主体方在报价、合同磋商过程中所签署的一切文件和处理的与本次磋商有关的一切事务，联合体各方均予以承认并承担法律责任。</w:t>
      </w:r>
    </w:p>
    <w:p>
      <w:pPr>
        <w:numPr>
          <w:ilvl w:val="0"/>
          <w:numId w:val="37"/>
        </w:numPr>
        <w:tabs>
          <w:tab w:val="left" w:pos="420"/>
        </w:tabs>
        <w:spacing w:line="360" w:lineRule="auto"/>
        <w:rPr>
          <w:color w:val="auto"/>
          <w:szCs w:val="21"/>
        </w:rPr>
      </w:pPr>
      <w:r>
        <w:rPr>
          <w:rFonts w:hint="eastAsia"/>
          <w:color w:val="auto"/>
          <w:szCs w:val="21"/>
        </w:rPr>
        <w:t>主体方  负责 工作，协办方                 负责工作。具体工作范围、工作内容以合同为准。</w:t>
      </w:r>
    </w:p>
    <w:p>
      <w:pPr>
        <w:numPr>
          <w:ilvl w:val="0"/>
          <w:numId w:val="37"/>
        </w:numPr>
        <w:tabs>
          <w:tab w:val="left" w:pos="420"/>
        </w:tabs>
        <w:spacing w:line="360" w:lineRule="auto"/>
        <w:rPr>
          <w:color w:val="auto"/>
          <w:szCs w:val="21"/>
        </w:rPr>
      </w:pPr>
      <w:r>
        <w:rPr>
          <w:rFonts w:hint="eastAsia" w:ascii="宋体" w:hAnsi="宋体"/>
          <w:color w:val="auto"/>
          <w:szCs w:val="21"/>
        </w:rPr>
        <w:t>联合体成员</w:t>
      </w:r>
      <w:r>
        <w:rPr>
          <w:rFonts w:hint="eastAsia" w:ascii="宋体" w:hAnsi="宋体"/>
          <w:color w:val="auto"/>
          <w:szCs w:val="21"/>
          <w:u w:val="single"/>
        </w:rPr>
        <w:t>　        　</w:t>
      </w:r>
      <w:r>
        <w:rPr>
          <w:rFonts w:hint="eastAsia" w:ascii="宋体" w:hAnsi="宋体"/>
          <w:color w:val="auto"/>
          <w:szCs w:val="21"/>
        </w:rPr>
        <w:t>为</w:t>
      </w:r>
      <w:r>
        <w:rPr>
          <w:rFonts w:hint="eastAsia" w:ascii="宋体" w:hAnsi="宋体"/>
          <w:color w:val="auto"/>
          <w:szCs w:val="21"/>
          <w:u w:val="single"/>
        </w:rPr>
        <w:t>（请填写：小型、微型）</w:t>
      </w:r>
      <w:r>
        <w:rPr>
          <w:rFonts w:hint="eastAsia" w:ascii="宋体" w:hAnsi="宋体"/>
          <w:color w:val="auto"/>
          <w:szCs w:val="21"/>
        </w:rPr>
        <w:t>企业，将承担合同总金额</w:t>
      </w:r>
      <w:r>
        <w:rPr>
          <w:rFonts w:hint="eastAsia" w:ascii="宋体" w:hAnsi="宋体"/>
          <w:color w:val="auto"/>
          <w:szCs w:val="21"/>
          <w:u w:val="single"/>
        </w:rPr>
        <w:t>　　</w:t>
      </w:r>
      <w:r>
        <w:rPr>
          <w:rFonts w:hint="eastAsia" w:ascii="宋体" w:hAnsi="宋体"/>
          <w:color w:val="auto"/>
          <w:szCs w:val="21"/>
        </w:rPr>
        <w:t>%的工作内容</w:t>
      </w:r>
      <w:r>
        <w:rPr>
          <w:rFonts w:hint="eastAsia" w:ascii="宋体" w:hAnsi="宋体"/>
          <w:b/>
          <w:color w:val="auto"/>
          <w:szCs w:val="21"/>
        </w:rPr>
        <w:t>（联合体成员中有小型、微型企业时适用）</w:t>
      </w:r>
      <w:r>
        <w:rPr>
          <w:rFonts w:hint="eastAsia" w:ascii="宋体" w:hAnsi="宋体"/>
          <w:color w:val="auto"/>
          <w:szCs w:val="21"/>
        </w:rPr>
        <w:t>。</w:t>
      </w:r>
    </w:p>
    <w:p>
      <w:pPr>
        <w:numPr>
          <w:ilvl w:val="0"/>
          <w:numId w:val="37"/>
        </w:numPr>
        <w:tabs>
          <w:tab w:val="left" w:pos="420"/>
        </w:tabs>
        <w:spacing w:line="360" w:lineRule="auto"/>
        <w:rPr>
          <w:color w:val="auto"/>
          <w:szCs w:val="21"/>
        </w:rPr>
      </w:pPr>
      <w:r>
        <w:rPr>
          <w:rFonts w:hint="eastAsia"/>
          <w:color w:val="auto"/>
          <w:szCs w:val="21"/>
        </w:rPr>
        <w:t>各方的责任、权利和义务的详细内容和规定在成交后经各方协商后报采购人同意另行签署协议或者合同。</w:t>
      </w:r>
    </w:p>
    <w:p>
      <w:pPr>
        <w:numPr>
          <w:ilvl w:val="0"/>
          <w:numId w:val="37"/>
        </w:numPr>
        <w:tabs>
          <w:tab w:val="left" w:pos="420"/>
        </w:tabs>
        <w:spacing w:line="360" w:lineRule="auto"/>
        <w:rPr>
          <w:color w:val="auto"/>
          <w:szCs w:val="21"/>
        </w:rPr>
      </w:pPr>
      <w:r>
        <w:rPr>
          <w:rFonts w:hint="eastAsia"/>
          <w:color w:val="auto"/>
          <w:szCs w:val="21"/>
        </w:rPr>
        <w:t>联合体各方不得再以自己的名义在本项目中单独提交响应文件，联合体项目责任人不能作为其他联合体或单独供应商的项目组成员。如因发生上述问题而导致联合体报价无效的，联合体其他成员可追究违约责任。</w:t>
      </w:r>
    </w:p>
    <w:p>
      <w:pPr>
        <w:numPr>
          <w:ilvl w:val="0"/>
          <w:numId w:val="37"/>
        </w:numPr>
        <w:tabs>
          <w:tab w:val="left" w:pos="420"/>
        </w:tabs>
        <w:spacing w:line="360" w:lineRule="auto"/>
        <w:rPr>
          <w:color w:val="auto"/>
          <w:szCs w:val="21"/>
        </w:rPr>
      </w:pPr>
      <w:r>
        <w:rPr>
          <w:rFonts w:hint="eastAsia"/>
          <w:color w:val="auto"/>
          <w:szCs w:val="21"/>
        </w:rPr>
        <w:t>联合体如因违约过失责任而导致采购人经济损失或被索赔时，本联合体任何一方均同意无条件优先清偿采购人的一切债务和经济赔偿。</w:t>
      </w:r>
    </w:p>
    <w:p>
      <w:pPr>
        <w:numPr>
          <w:ilvl w:val="0"/>
          <w:numId w:val="37"/>
        </w:numPr>
        <w:tabs>
          <w:tab w:val="left" w:pos="420"/>
        </w:tabs>
        <w:spacing w:line="360" w:lineRule="auto"/>
        <w:rPr>
          <w:color w:val="auto"/>
          <w:szCs w:val="21"/>
        </w:rPr>
      </w:pPr>
      <w:r>
        <w:rPr>
          <w:rFonts w:hint="eastAsia"/>
          <w:color w:val="auto"/>
          <w:szCs w:val="21"/>
        </w:rPr>
        <w:t>本协议在自签署之日起生效，有效期内有效，如获成交资格，合同有效期延续至合同履行完毕之日。如联合体未获成交资格，本协议自动废止。</w:t>
      </w:r>
    </w:p>
    <w:p>
      <w:pPr>
        <w:tabs>
          <w:tab w:val="left" w:pos="5387"/>
        </w:tabs>
        <w:spacing w:line="400" w:lineRule="exact"/>
        <w:rPr>
          <w:color w:val="auto"/>
          <w:szCs w:val="21"/>
        </w:rPr>
      </w:pPr>
      <w:r>
        <w:rPr>
          <w:rFonts w:hint="eastAsia"/>
          <w:color w:val="auto"/>
          <w:szCs w:val="21"/>
        </w:rPr>
        <w:t>主体方全称：（公章）</w:t>
      </w:r>
      <w:r>
        <w:rPr>
          <w:rFonts w:hint="eastAsia"/>
          <w:color w:val="auto"/>
          <w:szCs w:val="21"/>
        </w:rPr>
        <w:tab/>
      </w:r>
      <w:r>
        <w:rPr>
          <w:rFonts w:hint="eastAsia"/>
          <w:color w:val="auto"/>
          <w:szCs w:val="21"/>
        </w:rPr>
        <w:t>协办方全称：（公章）</w:t>
      </w:r>
    </w:p>
    <w:p>
      <w:pPr>
        <w:tabs>
          <w:tab w:val="left" w:pos="5387"/>
        </w:tabs>
        <w:spacing w:line="400" w:lineRule="exact"/>
        <w:rPr>
          <w:color w:val="auto"/>
          <w:szCs w:val="21"/>
        </w:rPr>
      </w:pPr>
      <w:r>
        <w:rPr>
          <w:rFonts w:hint="eastAsia"/>
          <w:color w:val="auto"/>
          <w:szCs w:val="21"/>
        </w:rPr>
        <w:t>法定代表人姓名：（签名或印鉴）</w:t>
      </w:r>
      <w:r>
        <w:rPr>
          <w:rFonts w:hint="eastAsia"/>
          <w:color w:val="auto"/>
          <w:szCs w:val="21"/>
        </w:rPr>
        <w:tab/>
      </w:r>
      <w:r>
        <w:rPr>
          <w:rFonts w:hint="eastAsia"/>
          <w:color w:val="auto"/>
          <w:szCs w:val="21"/>
        </w:rPr>
        <w:t>法定代表人姓名：（签名或印鉴）</w:t>
      </w:r>
    </w:p>
    <w:p>
      <w:pPr>
        <w:tabs>
          <w:tab w:val="left" w:pos="5387"/>
        </w:tabs>
        <w:spacing w:line="400" w:lineRule="exact"/>
        <w:rPr>
          <w:color w:val="auto"/>
          <w:szCs w:val="21"/>
        </w:rPr>
      </w:pPr>
      <w:r>
        <w:rPr>
          <w:rFonts w:hint="eastAsia"/>
          <w:color w:val="auto"/>
          <w:szCs w:val="21"/>
        </w:rPr>
        <w:t>地址：</w:t>
      </w:r>
      <w:r>
        <w:rPr>
          <w:rFonts w:hint="eastAsia"/>
          <w:color w:val="auto"/>
          <w:szCs w:val="21"/>
        </w:rPr>
        <w:tab/>
      </w:r>
      <w:r>
        <w:rPr>
          <w:rFonts w:hint="eastAsia"/>
          <w:color w:val="auto"/>
          <w:szCs w:val="21"/>
        </w:rPr>
        <w:t>地址：</w:t>
      </w:r>
    </w:p>
    <w:p>
      <w:pPr>
        <w:tabs>
          <w:tab w:val="left" w:pos="5387"/>
        </w:tabs>
        <w:spacing w:line="400" w:lineRule="exact"/>
        <w:rPr>
          <w:color w:val="auto"/>
          <w:szCs w:val="21"/>
        </w:rPr>
      </w:pPr>
      <w:r>
        <w:rPr>
          <w:rFonts w:hint="eastAsia"/>
          <w:color w:val="auto"/>
          <w:szCs w:val="21"/>
        </w:rPr>
        <w:t>邮政编码：</w:t>
      </w:r>
      <w:r>
        <w:rPr>
          <w:rFonts w:hint="eastAsia"/>
          <w:color w:val="auto"/>
          <w:szCs w:val="21"/>
        </w:rPr>
        <w:tab/>
      </w:r>
      <w:r>
        <w:rPr>
          <w:rFonts w:hint="eastAsia"/>
          <w:color w:val="auto"/>
          <w:szCs w:val="21"/>
        </w:rPr>
        <w:t>邮政编码：</w:t>
      </w:r>
    </w:p>
    <w:p>
      <w:pPr>
        <w:tabs>
          <w:tab w:val="left" w:pos="5387"/>
        </w:tabs>
        <w:spacing w:line="400" w:lineRule="exact"/>
        <w:rPr>
          <w:color w:val="auto"/>
          <w:szCs w:val="21"/>
        </w:rPr>
      </w:pPr>
      <w:r>
        <w:rPr>
          <w:rFonts w:hint="eastAsia"/>
          <w:color w:val="auto"/>
          <w:szCs w:val="21"/>
        </w:rPr>
        <w:t>联系电话：</w:t>
      </w:r>
      <w:r>
        <w:rPr>
          <w:rFonts w:hint="eastAsia"/>
          <w:color w:val="auto"/>
          <w:szCs w:val="21"/>
        </w:rPr>
        <w:tab/>
      </w:r>
      <w:r>
        <w:rPr>
          <w:rFonts w:hint="eastAsia"/>
          <w:color w:val="auto"/>
          <w:szCs w:val="21"/>
        </w:rPr>
        <w:t>联系电话：</w:t>
      </w:r>
    </w:p>
    <w:p>
      <w:pPr>
        <w:tabs>
          <w:tab w:val="left" w:pos="5387"/>
        </w:tabs>
        <w:spacing w:line="400" w:lineRule="exact"/>
        <w:rPr>
          <w:color w:val="auto"/>
          <w:szCs w:val="21"/>
        </w:rPr>
      </w:pPr>
      <w:r>
        <w:rPr>
          <w:rFonts w:hint="eastAsia"/>
          <w:color w:val="auto"/>
          <w:szCs w:val="21"/>
        </w:rPr>
        <w:t>签署日期：</w:t>
      </w:r>
      <w:r>
        <w:rPr>
          <w:rFonts w:hint="eastAsia"/>
          <w:color w:val="auto"/>
          <w:szCs w:val="21"/>
        </w:rPr>
        <w:tab/>
      </w:r>
      <w:r>
        <w:rPr>
          <w:rFonts w:hint="eastAsia"/>
          <w:color w:val="auto"/>
          <w:szCs w:val="21"/>
        </w:rPr>
        <w:t>签署日期：</w:t>
      </w:r>
    </w:p>
    <w:p>
      <w:pPr>
        <w:tabs>
          <w:tab w:val="left" w:pos="5387"/>
        </w:tabs>
        <w:spacing w:line="400" w:lineRule="exact"/>
        <w:rPr>
          <w:color w:val="auto"/>
          <w:szCs w:val="21"/>
        </w:rPr>
      </w:pPr>
    </w:p>
    <w:p>
      <w:pPr>
        <w:rPr>
          <w:color w:val="auto"/>
          <w:szCs w:val="21"/>
        </w:rPr>
      </w:pPr>
      <w:r>
        <w:rPr>
          <w:rFonts w:hint="eastAsia"/>
          <w:color w:val="auto"/>
          <w:szCs w:val="21"/>
        </w:rPr>
        <w:t>备注：联合体各方成员须在本协议上共同盖章和签署。</w:t>
      </w:r>
    </w:p>
    <w:p>
      <w:pPr>
        <w:pStyle w:val="4"/>
        <w:keepNext w:val="0"/>
        <w:keepLines w:val="0"/>
        <w:widowControl/>
        <w:spacing w:before="188" w:after="188" w:line="400" w:lineRule="exact"/>
        <w:jc w:val="center"/>
        <w:rPr>
          <w:rFonts w:hAnsi="宋体"/>
          <w:bCs/>
          <w:color w:val="auto"/>
        </w:rPr>
      </w:pPr>
      <w:bookmarkStart w:id="489" w:name="_Toc426557892"/>
      <w:r>
        <w:rPr>
          <w:rFonts w:hAnsi="宋体"/>
          <w:bCs/>
          <w:color w:val="auto"/>
        </w:rPr>
        <w:br w:type="page"/>
      </w:r>
      <w:bookmarkStart w:id="490" w:name="_Toc18935152"/>
      <w:bookmarkStart w:id="491" w:name="_Toc469663711"/>
      <w:bookmarkStart w:id="492" w:name="_Toc28764"/>
      <w:bookmarkStart w:id="493" w:name="_Toc21894"/>
      <w:bookmarkStart w:id="494" w:name="_Toc5579"/>
      <w:bookmarkStart w:id="495" w:name="_Toc18935010"/>
      <w:bookmarkStart w:id="496" w:name="_Toc11018"/>
      <w:bookmarkStart w:id="497" w:name="_Toc7241"/>
      <w:r>
        <w:rPr>
          <w:rFonts w:hint="eastAsia" w:hAnsi="宋体"/>
          <w:bCs/>
          <w:color w:val="auto"/>
        </w:rPr>
        <w:t>第五章 响应文件技术部分</w:t>
      </w:r>
      <w:bookmarkEnd w:id="489"/>
      <w:bookmarkEnd w:id="490"/>
      <w:bookmarkEnd w:id="491"/>
      <w:bookmarkEnd w:id="492"/>
      <w:bookmarkEnd w:id="493"/>
      <w:bookmarkEnd w:id="494"/>
      <w:bookmarkEnd w:id="495"/>
      <w:bookmarkEnd w:id="496"/>
      <w:bookmarkEnd w:id="497"/>
    </w:p>
    <w:p>
      <w:pPr>
        <w:jc w:val="center"/>
        <w:rPr>
          <w:rFonts w:ascii="宋体" w:hAnsi="宋体"/>
          <w:color w:val="auto"/>
          <w:szCs w:val="21"/>
        </w:rPr>
      </w:pPr>
      <w:bookmarkStart w:id="498" w:name="_Toc427679385"/>
      <w:bookmarkEnd w:id="498"/>
      <w:bookmarkStart w:id="499" w:name="_Toc427679301"/>
      <w:bookmarkEnd w:id="499"/>
      <w:bookmarkStart w:id="500" w:name="_Toc427837232"/>
      <w:bookmarkEnd w:id="500"/>
      <w:bookmarkStart w:id="501" w:name="_Toc428174678"/>
      <w:bookmarkEnd w:id="501"/>
      <w:bookmarkStart w:id="502" w:name="_Toc427679303"/>
      <w:bookmarkEnd w:id="502"/>
      <w:bookmarkStart w:id="503" w:name="_Toc427679257"/>
      <w:bookmarkEnd w:id="503"/>
      <w:bookmarkStart w:id="504" w:name="_Toc430013108"/>
      <w:bookmarkEnd w:id="504"/>
      <w:bookmarkStart w:id="505" w:name="_Toc430013110"/>
      <w:bookmarkEnd w:id="505"/>
      <w:bookmarkStart w:id="506" w:name="_Toc427679387"/>
      <w:bookmarkEnd w:id="506"/>
      <w:bookmarkStart w:id="507" w:name="_Toc427837096"/>
      <w:bookmarkEnd w:id="507"/>
      <w:bookmarkStart w:id="508" w:name="_Toc425861356"/>
      <w:bookmarkEnd w:id="508"/>
      <w:bookmarkStart w:id="509" w:name="_Toc430097892"/>
      <w:bookmarkEnd w:id="509"/>
      <w:bookmarkStart w:id="510" w:name="_Toc427679345"/>
      <w:bookmarkEnd w:id="510"/>
      <w:bookmarkStart w:id="511" w:name="_Toc430102498"/>
      <w:bookmarkEnd w:id="511"/>
      <w:bookmarkStart w:id="512" w:name="_Toc427837098"/>
      <w:bookmarkEnd w:id="512"/>
      <w:bookmarkStart w:id="513" w:name="_Toc430098264"/>
      <w:bookmarkEnd w:id="513"/>
      <w:bookmarkStart w:id="514" w:name="_Toc428174880"/>
      <w:bookmarkEnd w:id="514"/>
      <w:bookmarkStart w:id="515" w:name="_Toc428174944"/>
      <w:bookmarkEnd w:id="515"/>
      <w:bookmarkStart w:id="516" w:name="_Toc427682691"/>
      <w:bookmarkEnd w:id="516"/>
      <w:bookmarkStart w:id="517" w:name="_Toc430102500"/>
      <w:bookmarkEnd w:id="517"/>
      <w:bookmarkStart w:id="518" w:name="_Toc427679343"/>
      <w:bookmarkEnd w:id="518"/>
      <w:bookmarkStart w:id="519" w:name="_Toc427679259"/>
      <w:bookmarkEnd w:id="519"/>
      <w:bookmarkStart w:id="520" w:name="_Toc430098266"/>
      <w:bookmarkEnd w:id="520"/>
      <w:bookmarkStart w:id="521" w:name="_Toc428174676"/>
      <w:bookmarkEnd w:id="521"/>
      <w:bookmarkStart w:id="522" w:name="_Toc430012742"/>
      <w:bookmarkEnd w:id="522"/>
      <w:bookmarkStart w:id="523" w:name="_Toc428174981"/>
      <w:bookmarkEnd w:id="523"/>
      <w:bookmarkStart w:id="524" w:name="_Toc427837150"/>
      <w:bookmarkEnd w:id="524"/>
      <w:bookmarkStart w:id="525" w:name="_Toc430012744"/>
      <w:bookmarkEnd w:id="525"/>
      <w:bookmarkStart w:id="526" w:name="_Toc427682689"/>
      <w:bookmarkEnd w:id="526"/>
      <w:bookmarkStart w:id="527" w:name="_Toc427837305"/>
      <w:bookmarkEnd w:id="527"/>
      <w:bookmarkStart w:id="528" w:name="_Toc425861354"/>
      <w:bookmarkEnd w:id="528"/>
      <w:bookmarkStart w:id="529" w:name="_Toc427837303"/>
      <w:bookmarkEnd w:id="529"/>
      <w:bookmarkStart w:id="530" w:name="_Toc427837190"/>
      <w:bookmarkEnd w:id="530"/>
      <w:bookmarkStart w:id="531" w:name="_Toc427837152"/>
      <w:bookmarkEnd w:id="531"/>
      <w:bookmarkStart w:id="532" w:name="_Toc427837230"/>
      <w:bookmarkEnd w:id="532"/>
      <w:bookmarkStart w:id="533" w:name="_Toc427837192"/>
      <w:bookmarkEnd w:id="533"/>
      <w:bookmarkStart w:id="534" w:name="_Toc425862697"/>
      <w:bookmarkEnd w:id="534"/>
      <w:bookmarkStart w:id="535" w:name="_Toc428174878"/>
      <w:bookmarkEnd w:id="535"/>
      <w:bookmarkStart w:id="536" w:name="_Toc428174983"/>
      <w:bookmarkEnd w:id="536"/>
      <w:bookmarkStart w:id="537" w:name="_Toc425862695"/>
      <w:bookmarkEnd w:id="537"/>
      <w:bookmarkStart w:id="538" w:name="_Toc426557895"/>
      <w:bookmarkEnd w:id="538"/>
      <w:bookmarkStart w:id="539" w:name="_Toc426557893"/>
      <w:bookmarkEnd w:id="539"/>
      <w:bookmarkStart w:id="540" w:name="_Toc428174946"/>
      <w:bookmarkEnd w:id="540"/>
      <w:bookmarkStart w:id="541" w:name="_Toc430097894"/>
      <w:bookmarkEnd w:id="541"/>
    </w:p>
    <w:p>
      <w:pPr>
        <w:spacing w:line="360" w:lineRule="auto"/>
        <w:rPr>
          <w:rFonts w:ascii="宋体" w:hAnsi="宋体"/>
          <w:color w:val="auto"/>
          <w:szCs w:val="21"/>
        </w:rPr>
      </w:pPr>
      <w:r>
        <w:rPr>
          <w:rFonts w:hint="eastAsia"/>
          <w:color w:val="auto"/>
          <w:szCs w:val="21"/>
        </w:rPr>
        <w:t>建议包括以下内容：</w:t>
      </w:r>
    </w:p>
    <w:p>
      <w:pPr>
        <w:rPr>
          <w:rFonts w:ascii="宋体" w:hAnsi="宋体"/>
          <w:b/>
          <w:bCs/>
          <w:color w:val="auto"/>
          <w:szCs w:val="21"/>
        </w:rPr>
      </w:pPr>
      <w:r>
        <w:rPr>
          <w:rFonts w:hint="eastAsia" w:ascii="宋体" w:hAnsi="宋体"/>
          <w:b/>
          <w:bCs/>
          <w:color w:val="auto"/>
          <w:szCs w:val="21"/>
        </w:rPr>
        <w:t>项目内容响应程度采购</w:t>
      </w:r>
    </w:p>
    <w:p>
      <w:pPr>
        <w:rPr>
          <w:rFonts w:ascii="宋体" w:hAnsi="宋体"/>
          <w:b/>
          <w:bCs/>
          <w:color w:val="auto"/>
          <w:szCs w:val="21"/>
        </w:rPr>
      </w:pPr>
      <w:r>
        <w:rPr>
          <w:rFonts w:ascii="Calibri" w:hAnsi="Calibri" w:cs="Calibri"/>
          <w:b/>
          <w:bCs/>
          <w:color w:val="auto"/>
          <w:szCs w:val="21"/>
        </w:rPr>
        <w:t>①</w:t>
      </w:r>
      <w:r>
        <w:rPr>
          <w:rFonts w:hint="eastAsia" w:ascii="宋体" w:hAnsi="宋体"/>
          <w:b/>
          <w:bCs/>
          <w:color w:val="auto"/>
          <w:szCs w:val="21"/>
        </w:rPr>
        <w:t>投标人对本项目采购项目内容响应程度</w:t>
      </w:r>
    </w:p>
    <w:p>
      <w:pPr>
        <w:rPr>
          <w:rFonts w:ascii="宋体" w:hAnsi="宋体"/>
          <w:b/>
          <w:bCs/>
          <w:color w:val="auto"/>
          <w:szCs w:val="21"/>
        </w:rPr>
      </w:pPr>
    </w:p>
    <w:p>
      <w:pPr>
        <w:rPr>
          <w:rFonts w:ascii="宋体" w:hAnsi="宋体"/>
          <w:b/>
          <w:bCs/>
          <w:color w:val="auto"/>
          <w:szCs w:val="21"/>
        </w:rPr>
      </w:pPr>
      <w:r>
        <w:rPr>
          <w:rFonts w:hint="eastAsia" w:ascii="宋体" w:hAnsi="宋体"/>
          <w:b/>
          <w:bCs/>
          <w:color w:val="auto"/>
          <w:szCs w:val="21"/>
        </w:rPr>
        <w:t>项目组织方案：</w:t>
      </w:r>
    </w:p>
    <w:p>
      <w:pPr>
        <w:rPr>
          <w:rFonts w:ascii="宋体" w:hAnsi="宋体"/>
          <w:b/>
          <w:bCs/>
          <w:color w:val="auto"/>
          <w:szCs w:val="21"/>
        </w:rPr>
      </w:pPr>
      <w:r>
        <w:rPr>
          <w:rFonts w:ascii="Calibri" w:hAnsi="Calibri" w:cs="Calibri"/>
          <w:b/>
          <w:bCs/>
          <w:color w:val="auto"/>
          <w:szCs w:val="21"/>
        </w:rPr>
        <w:t>①</w:t>
      </w:r>
      <w:r>
        <w:rPr>
          <w:rFonts w:hint="eastAsia" w:ascii="宋体" w:hAnsi="宋体"/>
          <w:b/>
          <w:bCs/>
          <w:color w:val="auto"/>
          <w:szCs w:val="21"/>
        </w:rPr>
        <w:t>项目管理制度</w:t>
      </w:r>
    </w:p>
    <w:p>
      <w:pPr>
        <w:rPr>
          <w:rFonts w:ascii="宋体" w:hAnsi="宋体"/>
          <w:b/>
          <w:bCs/>
          <w:color w:val="auto"/>
          <w:szCs w:val="21"/>
        </w:rPr>
      </w:pPr>
      <w:r>
        <w:rPr>
          <w:rFonts w:ascii="Calibri" w:hAnsi="Calibri" w:cs="Calibri"/>
          <w:b/>
          <w:bCs/>
          <w:color w:val="auto"/>
          <w:szCs w:val="21"/>
        </w:rPr>
        <w:t>②</w:t>
      </w:r>
      <w:r>
        <w:rPr>
          <w:rFonts w:hint="eastAsia" w:ascii="宋体" w:hAnsi="宋体"/>
          <w:b/>
          <w:bCs/>
          <w:color w:val="auto"/>
          <w:szCs w:val="21"/>
        </w:rPr>
        <w:t>管理及服务模式、服务目标</w:t>
      </w:r>
    </w:p>
    <w:p>
      <w:pPr>
        <w:rPr>
          <w:rFonts w:ascii="宋体" w:hAnsi="宋体"/>
          <w:b/>
          <w:bCs/>
          <w:color w:val="auto"/>
          <w:szCs w:val="21"/>
        </w:rPr>
      </w:pPr>
      <w:r>
        <w:rPr>
          <w:rFonts w:ascii="Calibri" w:hAnsi="Calibri" w:cs="Calibri"/>
          <w:b/>
          <w:bCs/>
          <w:color w:val="auto"/>
          <w:szCs w:val="21"/>
        </w:rPr>
        <w:t>③</w:t>
      </w:r>
      <w:r>
        <w:rPr>
          <w:rFonts w:hint="eastAsia" w:ascii="宋体" w:hAnsi="宋体"/>
          <w:b/>
          <w:bCs/>
          <w:color w:val="auto"/>
          <w:szCs w:val="21"/>
        </w:rPr>
        <w:t>管理人员的同类项目工作经验、工作时间安排及工作方法</w:t>
      </w:r>
    </w:p>
    <w:p>
      <w:pPr>
        <w:rPr>
          <w:rFonts w:ascii="宋体" w:hAnsi="宋体"/>
          <w:b/>
          <w:bCs/>
          <w:color w:val="auto"/>
          <w:szCs w:val="21"/>
        </w:rPr>
      </w:pPr>
      <w:r>
        <w:rPr>
          <w:rFonts w:hint="eastAsia" w:ascii="宋体" w:hAnsi="宋体" w:cs="宋体"/>
          <w:b/>
          <w:bCs/>
          <w:color w:val="auto"/>
          <w:szCs w:val="21"/>
        </w:rPr>
        <w:t>④</w:t>
      </w:r>
      <w:r>
        <w:rPr>
          <w:rFonts w:hint="eastAsia" w:ascii="宋体" w:hAnsi="宋体"/>
          <w:b/>
          <w:bCs/>
          <w:color w:val="auto"/>
          <w:szCs w:val="21"/>
        </w:rPr>
        <w:t>工作人员的培训方案</w:t>
      </w:r>
    </w:p>
    <w:p>
      <w:pPr>
        <w:rPr>
          <w:rFonts w:ascii="宋体" w:hAnsi="宋体"/>
          <w:b/>
          <w:bCs/>
          <w:color w:val="auto"/>
          <w:szCs w:val="21"/>
        </w:rPr>
      </w:pPr>
      <w:r>
        <w:rPr>
          <w:rFonts w:hint="eastAsia" w:ascii="宋体" w:hAnsi="宋体" w:cs="宋体"/>
          <w:b/>
          <w:bCs/>
          <w:color w:val="auto"/>
          <w:szCs w:val="21"/>
        </w:rPr>
        <w:t>⑤</w:t>
      </w:r>
      <w:r>
        <w:rPr>
          <w:rFonts w:hint="eastAsia" w:ascii="宋体" w:hAnsi="宋体"/>
          <w:b/>
          <w:bCs/>
          <w:color w:val="auto"/>
          <w:szCs w:val="21"/>
        </w:rPr>
        <w:t>服务实施的详细方案</w:t>
      </w:r>
    </w:p>
    <w:p>
      <w:pPr>
        <w:rPr>
          <w:rFonts w:ascii="宋体" w:hAnsi="宋体"/>
          <w:b/>
          <w:bCs/>
          <w:color w:val="auto"/>
          <w:szCs w:val="21"/>
        </w:rPr>
      </w:pPr>
      <w:r>
        <w:rPr>
          <w:rFonts w:hint="eastAsia" w:ascii="宋体" w:hAnsi="宋体" w:cs="宋体"/>
          <w:b/>
          <w:bCs/>
          <w:color w:val="auto"/>
          <w:szCs w:val="21"/>
        </w:rPr>
        <w:t>⑥</w:t>
      </w:r>
      <w:r>
        <w:rPr>
          <w:rFonts w:hint="eastAsia" w:ascii="宋体" w:hAnsi="宋体"/>
          <w:b/>
          <w:bCs/>
          <w:color w:val="auto"/>
          <w:szCs w:val="21"/>
        </w:rPr>
        <w:t>应急方案</w:t>
      </w:r>
    </w:p>
    <w:p>
      <w:pPr>
        <w:spacing w:line="360" w:lineRule="auto"/>
        <w:rPr>
          <w:rFonts w:ascii="宋体" w:hAnsi="宋体"/>
          <w:b/>
          <w:bCs/>
          <w:color w:val="auto"/>
          <w:szCs w:val="21"/>
        </w:rPr>
      </w:pPr>
    </w:p>
    <w:p>
      <w:pPr>
        <w:spacing w:line="360" w:lineRule="auto"/>
        <w:rPr>
          <w:rFonts w:ascii="宋体" w:hAnsi="宋体"/>
          <w:b/>
          <w:bCs/>
          <w:color w:val="auto"/>
          <w:szCs w:val="21"/>
        </w:rPr>
      </w:pPr>
      <w:r>
        <w:rPr>
          <w:rFonts w:hint="eastAsia" w:ascii="宋体" w:hAnsi="宋体"/>
          <w:b/>
          <w:bCs/>
          <w:color w:val="auto"/>
          <w:szCs w:val="21"/>
        </w:rPr>
        <w:t>供应商认为必要的其他技术资料</w:t>
      </w:r>
    </w:p>
    <w:p>
      <w:pPr>
        <w:spacing w:line="360" w:lineRule="auto"/>
        <w:rPr>
          <w:b/>
          <w:color w:val="auto"/>
          <w:szCs w:val="21"/>
          <w:lang w:val="en-GB"/>
        </w:rPr>
      </w:pPr>
      <w:r>
        <w:rPr>
          <w:rFonts w:ascii="宋体" w:hAnsi="宋体"/>
          <w:color w:val="auto"/>
          <w:szCs w:val="21"/>
        </w:rPr>
        <w:br w:type="page"/>
      </w:r>
      <w:r>
        <w:rPr>
          <w:rFonts w:hint="eastAsia"/>
          <w:b/>
          <w:color w:val="auto"/>
          <w:szCs w:val="21"/>
          <w:lang w:val="en-GB"/>
        </w:rPr>
        <w:t>附件一：政府采购履约担保函（提交磋商响应文件时无需提供）</w:t>
      </w:r>
    </w:p>
    <w:p>
      <w:pPr>
        <w:spacing w:line="360" w:lineRule="auto"/>
        <w:jc w:val="center"/>
        <w:rPr>
          <w:rFonts w:ascii="宋体" w:hAnsi="宋体"/>
          <w:b/>
          <w:bCs/>
          <w:color w:val="auto"/>
          <w:sz w:val="28"/>
          <w:szCs w:val="28"/>
        </w:rPr>
      </w:pPr>
      <w:r>
        <w:rPr>
          <w:rFonts w:hint="eastAsia" w:ascii="宋体" w:hAnsi="宋体"/>
          <w:b/>
          <w:bCs/>
          <w:color w:val="auto"/>
          <w:sz w:val="28"/>
          <w:szCs w:val="28"/>
        </w:rPr>
        <w:t>政府采购履约担保函</w:t>
      </w:r>
    </w:p>
    <w:p>
      <w:pPr>
        <w:spacing w:line="360" w:lineRule="auto"/>
        <w:rPr>
          <w:color w:val="auto"/>
        </w:rPr>
      </w:pPr>
      <w:r>
        <w:rPr>
          <w:rFonts w:hint="eastAsia"/>
          <w:color w:val="auto"/>
        </w:rPr>
        <w:t xml:space="preserve">                                                             编号：</w:t>
      </w:r>
    </w:p>
    <w:p>
      <w:pPr>
        <w:spacing w:line="360" w:lineRule="auto"/>
        <w:rPr>
          <w:color w:val="auto"/>
          <w:szCs w:val="21"/>
        </w:rPr>
      </w:pPr>
      <w:r>
        <w:rPr>
          <w:rFonts w:hint="eastAsia"/>
          <w:color w:val="auto"/>
          <w:szCs w:val="21"/>
        </w:rPr>
        <w:t>（采购人）：</w:t>
      </w:r>
    </w:p>
    <w:p>
      <w:pPr>
        <w:spacing w:line="360" w:lineRule="auto"/>
        <w:ind w:firstLine="420" w:firstLineChars="200"/>
        <w:rPr>
          <w:color w:val="auto"/>
          <w:szCs w:val="21"/>
        </w:rPr>
      </w:pPr>
      <w:r>
        <w:rPr>
          <w:rFonts w:hint="eastAsia"/>
          <w:color w:val="auto"/>
          <w:szCs w:val="21"/>
        </w:rPr>
        <w:t>鉴于你方与（以下简称供应商）于年月日签定编号为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spacing w:line="360" w:lineRule="auto"/>
        <w:ind w:firstLine="420" w:firstLineChars="200"/>
        <w:rPr>
          <w:color w:val="auto"/>
          <w:szCs w:val="21"/>
        </w:rPr>
      </w:pPr>
      <w:r>
        <w:rPr>
          <w:rFonts w:hint="eastAsia"/>
          <w:color w:val="auto"/>
          <w:szCs w:val="21"/>
        </w:rPr>
        <w:t>一、保证责任的情形及保证金额</w:t>
      </w:r>
    </w:p>
    <w:p>
      <w:pPr>
        <w:spacing w:line="360" w:lineRule="auto"/>
        <w:ind w:firstLine="420" w:firstLineChars="200"/>
        <w:rPr>
          <w:color w:val="auto"/>
          <w:szCs w:val="21"/>
        </w:rPr>
      </w:pPr>
      <w:r>
        <w:rPr>
          <w:rFonts w:hint="eastAsia"/>
          <w:color w:val="auto"/>
          <w:szCs w:val="21"/>
        </w:rPr>
        <w:t>（一）在供应商出现下列情形之一时，我方承担保证责任：</w:t>
      </w:r>
    </w:p>
    <w:p>
      <w:pPr>
        <w:spacing w:line="360" w:lineRule="auto"/>
        <w:ind w:firstLine="420" w:firstLineChars="200"/>
        <w:rPr>
          <w:color w:val="auto"/>
          <w:szCs w:val="21"/>
        </w:rPr>
      </w:pPr>
      <w:r>
        <w:rPr>
          <w:rFonts w:hint="eastAsia"/>
          <w:color w:val="auto"/>
          <w:szCs w:val="21"/>
        </w:rPr>
        <w:t>1．将成交项目转让给他人，或者在响应文件中未说明，且未经采购招标机构人同意，将成交项目分包给他人的；</w:t>
      </w:r>
    </w:p>
    <w:p>
      <w:pPr>
        <w:spacing w:line="360" w:lineRule="auto"/>
        <w:rPr>
          <w:color w:val="auto"/>
          <w:szCs w:val="21"/>
        </w:rPr>
      </w:pPr>
      <w:r>
        <w:rPr>
          <w:rFonts w:hint="eastAsia"/>
          <w:color w:val="auto"/>
          <w:szCs w:val="21"/>
        </w:rPr>
        <w:t xml:space="preserve">　　2．主合同约定的应当缴纳履约保证金的情形: </w:t>
      </w:r>
    </w:p>
    <w:p>
      <w:pPr>
        <w:spacing w:line="360" w:lineRule="auto"/>
        <w:ind w:firstLine="420" w:firstLineChars="200"/>
        <w:rPr>
          <w:color w:val="auto"/>
          <w:szCs w:val="21"/>
        </w:rPr>
      </w:pPr>
      <w:r>
        <w:rPr>
          <w:rFonts w:hint="eastAsia"/>
          <w:color w:val="auto"/>
          <w:szCs w:val="21"/>
        </w:rPr>
        <w:t>（1）未按主合同约定的质量、数量和期限供应货物/提供服务/完成工程的；</w:t>
      </w:r>
    </w:p>
    <w:p>
      <w:pPr>
        <w:spacing w:line="360" w:lineRule="auto"/>
        <w:ind w:firstLine="420" w:firstLineChars="200"/>
        <w:rPr>
          <w:color w:val="auto"/>
          <w:szCs w:val="21"/>
        </w:rPr>
      </w:pPr>
      <w:r>
        <w:rPr>
          <w:rFonts w:hint="eastAsia"/>
          <w:color w:val="auto"/>
          <w:szCs w:val="21"/>
        </w:rPr>
        <w:t>（2）。</w:t>
      </w:r>
    </w:p>
    <w:p>
      <w:pPr>
        <w:spacing w:line="360" w:lineRule="auto"/>
        <w:ind w:firstLine="420" w:firstLineChars="200"/>
        <w:rPr>
          <w:color w:val="auto"/>
          <w:szCs w:val="21"/>
        </w:rPr>
      </w:pPr>
      <w:r>
        <w:rPr>
          <w:rFonts w:hint="eastAsia"/>
          <w:color w:val="auto"/>
          <w:szCs w:val="21"/>
        </w:rPr>
        <w:t>（二）我方的保证范围是主合同约定的合同价款总额的%数额为元（大写），币种为。（即主合同履约保证金金额）</w:t>
      </w:r>
    </w:p>
    <w:p>
      <w:pPr>
        <w:spacing w:line="360" w:lineRule="auto"/>
        <w:ind w:firstLine="420" w:firstLineChars="200"/>
        <w:rPr>
          <w:color w:val="auto"/>
          <w:szCs w:val="21"/>
        </w:rPr>
      </w:pPr>
      <w:r>
        <w:rPr>
          <w:rFonts w:hint="eastAsia"/>
          <w:color w:val="auto"/>
          <w:szCs w:val="21"/>
        </w:rPr>
        <w:t>二、保证的方式及保证期间</w:t>
      </w:r>
    </w:p>
    <w:p>
      <w:pPr>
        <w:spacing w:line="360" w:lineRule="auto"/>
        <w:ind w:firstLine="420" w:firstLineChars="200"/>
        <w:rPr>
          <w:color w:val="auto"/>
          <w:szCs w:val="21"/>
        </w:rPr>
      </w:pPr>
      <w:r>
        <w:rPr>
          <w:rFonts w:hint="eastAsia"/>
          <w:color w:val="auto"/>
          <w:szCs w:val="21"/>
        </w:rPr>
        <w:t>我方保证的方式为：连带责任保证。</w:t>
      </w:r>
    </w:p>
    <w:p>
      <w:pPr>
        <w:spacing w:line="360" w:lineRule="auto"/>
        <w:ind w:firstLine="420" w:firstLineChars="200"/>
        <w:rPr>
          <w:color w:val="auto"/>
          <w:szCs w:val="21"/>
        </w:rPr>
      </w:pPr>
      <w:r>
        <w:rPr>
          <w:rFonts w:hint="eastAsia"/>
          <w:color w:val="auto"/>
          <w:szCs w:val="21"/>
        </w:rPr>
        <w:t>我方保证的期间为：自本合同生效之日起至供应商按照主合同约定的供货/完工期限届满后日内。</w:t>
      </w:r>
    </w:p>
    <w:p>
      <w:pPr>
        <w:spacing w:line="360" w:lineRule="auto"/>
        <w:ind w:firstLine="420" w:firstLineChars="200"/>
        <w:rPr>
          <w:color w:val="auto"/>
          <w:szCs w:val="21"/>
        </w:rPr>
      </w:pPr>
      <w:r>
        <w:rPr>
          <w:rFonts w:hint="eastAsia"/>
          <w:color w:val="auto"/>
          <w:szCs w:val="21"/>
        </w:rPr>
        <w:t>如果供应商未按主合同约定向贵方供应货物/提供服务/完成工程的，由我方在保证金额内向你方支付上述款项。</w:t>
      </w:r>
    </w:p>
    <w:p>
      <w:pPr>
        <w:spacing w:line="360" w:lineRule="auto"/>
        <w:ind w:firstLine="420" w:firstLineChars="200"/>
        <w:rPr>
          <w:color w:val="auto"/>
          <w:szCs w:val="21"/>
        </w:rPr>
      </w:pPr>
      <w:r>
        <w:rPr>
          <w:rFonts w:hint="eastAsia"/>
          <w:color w:val="auto"/>
          <w:szCs w:val="21"/>
        </w:rPr>
        <w:t>三、承担保证责任的程序</w:t>
      </w:r>
    </w:p>
    <w:p>
      <w:pPr>
        <w:spacing w:line="360" w:lineRule="auto"/>
        <w:ind w:firstLine="420" w:firstLineChars="200"/>
        <w:rPr>
          <w:color w:val="auto"/>
          <w:szCs w:val="21"/>
        </w:rPr>
      </w:pPr>
      <w:r>
        <w:rPr>
          <w:rFonts w:hint="eastAsia"/>
          <w:color w:val="auto"/>
          <w:szCs w:val="21"/>
        </w:rPr>
        <w:t>1．你方要求我方承担保证责任的，应在本保函保证期间内向我方发出书面索赔通知。索赔通知应写明要求索赔的金额，支付款项应到达的帐号。并附有证明供应商违约事实的证明材料。</w:t>
      </w:r>
    </w:p>
    <w:p>
      <w:pPr>
        <w:spacing w:line="360" w:lineRule="auto"/>
        <w:ind w:firstLine="420" w:firstLineChars="200"/>
        <w:rPr>
          <w:color w:val="auto"/>
          <w:szCs w:val="21"/>
        </w:rPr>
      </w:pPr>
      <w:r>
        <w:rPr>
          <w:rFonts w:hint="eastAsia"/>
          <w:color w:val="auto"/>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spacing w:line="360" w:lineRule="auto"/>
        <w:ind w:firstLine="420" w:firstLineChars="200"/>
        <w:rPr>
          <w:color w:val="auto"/>
          <w:szCs w:val="21"/>
        </w:rPr>
      </w:pPr>
      <w:r>
        <w:rPr>
          <w:rFonts w:hint="eastAsia"/>
          <w:color w:val="auto"/>
          <w:szCs w:val="21"/>
        </w:rPr>
        <w:t>2． 我方收到你方的书面索赔通知及相应证明材料，在工作日内进行核定后按照本保函的承诺承担保证责任。</w:t>
      </w:r>
    </w:p>
    <w:p>
      <w:pPr>
        <w:spacing w:line="360" w:lineRule="auto"/>
        <w:ind w:firstLine="420" w:firstLineChars="200"/>
        <w:rPr>
          <w:color w:val="auto"/>
          <w:szCs w:val="21"/>
        </w:rPr>
      </w:pPr>
      <w:r>
        <w:rPr>
          <w:rFonts w:hint="eastAsia"/>
          <w:color w:val="auto"/>
          <w:szCs w:val="21"/>
        </w:rPr>
        <w:t>四、保证责任的终止</w:t>
      </w:r>
    </w:p>
    <w:p>
      <w:pPr>
        <w:spacing w:line="360" w:lineRule="auto"/>
        <w:ind w:firstLine="420" w:firstLineChars="200"/>
        <w:rPr>
          <w:color w:val="auto"/>
          <w:szCs w:val="21"/>
        </w:rPr>
      </w:pPr>
      <w:r>
        <w:rPr>
          <w:rFonts w:hint="eastAsia"/>
          <w:color w:val="auto"/>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360" w:lineRule="auto"/>
        <w:ind w:firstLine="420" w:firstLineChars="200"/>
        <w:rPr>
          <w:color w:val="auto"/>
          <w:szCs w:val="21"/>
        </w:rPr>
      </w:pPr>
      <w:r>
        <w:rPr>
          <w:rFonts w:hint="eastAsia"/>
          <w:color w:val="auto"/>
          <w:szCs w:val="21"/>
        </w:rPr>
        <w:t>2．我方按照本保函向你方履行了保证责任后，自我方向你方支付款项（支付款项从我方账户划出）之日起，保证责任即终止。</w:t>
      </w:r>
    </w:p>
    <w:p>
      <w:pPr>
        <w:spacing w:line="360" w:lineRule="auto"/>
        <w:ind w:firstLine="420" w:firstLineChars="200"/>
        <w:rPr>
          <w:color w:val="auto"/>
          <w:szCs w:val="21"/>
        </w:rPr>
      </w:pPr>
      <w:r>
        <w:rPr>
          <w:rFonts w:hint="eastAsia"/>
          <w:color w:val="auto"/>
          <w:szCs w:val="21"/>
        </w:rPr>
        <w:t>3．按照法律法规的规定或出现应终止我方保证责任的其它情形的，我方在本保函项下的保证责任亦终止。</w:t>
      </w:r>
    </w:p>
    <w:p>
      <w:pPr>
        <w:spacing w:line="360" w:lineRule="auto"/>
        <w:ind w:firstLine="420" w:firstLineChars="200"/>
        <w:rPr>
          <w:color w:val="auto"/>
          <w:szCs w:val="21"/>
        </w:rPr>
      </w:pPr>
      <w:r>
        <w:rPr>
          <w:rFonts w:hint="eastAsia"/>
          <w:color w:val="auto"/>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line="360" w:lineRule="auto"/>
        <w:ind w:firstLine="420" w:firstLineChars="200"/>
        <w:rPr>
          <w:color w:val="auto"/>
          <w:szCs w:val="21"/>
        </w:rPr>
      </w:pPr>
      <w:r>
        <w:rPr>
          <w:rFonts w:hint="eastAsia"/>
          <w:color w:val="auto"/>
          <w:szCs w:val="21"/>
        </w:rPr>
        <w:t>五、免责条款</w:t>
      </w:r>
    </w:p>
    <w:p>
      <w:pPr>
        <w:spacing w:line="360" w:lineRule="auto"/>
        <w:ind w:firstLine="420" w:firstLineChars="200"/>
        <w:rPr>
          <w:color w:val="auto"/>
          <w:szCs w:val="21"/>
        </w:rPr>
      </w:pPr>
      <w:r>
        <w:rPr>
          <w:rFonts w:hint="eastAsia"/>
          <w:color w:val="auto"/>
          <w:szCs w:val="21"/>
        </w:rPr>
        <w:t>1．因你方违反主合同约定致使供应商不能履行义务的，我方不承担保证责任。</w:t>
      </w:r>
    </w:p>
    <w:p>
      <w:pPr>
        <w:spacing w:line="360" w:lineRule="auto"/>
        <w:ind w:firstLine="420" w:firstLineChars="200"/>
        <w:rPr>
          <w:color w:val="auto"/>
          <w:szCs w:val="21"/>
        </w:rPr>
      </w:pPr>
      <w:r>
        <w:rPr>
          <w:rFonts w:hint="eastAsia"/>
          <w:color w:val="auto"/>
          <w:szCs w:val="21"/>
        </w:rPr>
        <w:t>2．依照法律法规的规定或你方与供应商的另行约定，全部或者部分免除供应商应缴纳的保证金义务的，我方亦免除相应的保证责任。</w:t>
      </w:r>
    </w:p>
    <w:p>
      <w:pPr>
        <w:spacing w:line="360" w:lineRule="auto"/>
        <w:ind w:firstLine="420" w:firstLineChars="200"/>
        <w:rPr>
          <w:color w:val="auto"/>
          <w:szCs w:val="21"/>
        </w:rPr>
      </w:pPr>
      <w:r>
        <w:rPr>
          <w:rFonts w:hint="eastAsia"/>
          <w:color w:val="auto"/>
          <w:szCs w:val="21"/>
        </w:rPr>
        <w:t>3．因不可抗力造成供应商不能履行供货义务的，我方不承担保证责任。</w:t>
      </w:r>
    </w:p>
    <w:p>
      <w:pPr>
        <w:spacing w:line="360" w:lineRule="auto"/>
        <w:ind w:firstLine="420" w:firstLineChars="200"/>
        <w:rPr>
          <w:color w:val="auto"/>
          <w:szCs w:val="21"/>
        </w:rPr>
      </w:pPr>
      <w:r>
        <w:rPr>
          <w:rFonts w:hint="eastAsia"/>
          <w:color w:val="auto"/>
          <w:szCs w:val="21"/>
        </w:rPr>
        <w:t>六、争议的解决</w:t>
      </w:r>
    </w:p>
    <w:p>
      <w:pPr>
        <w:spacing w:line="360" w:lineRule="auto"/>
        <w:ind w:firstLine="420" w:firstLineChars="200"/>
        <w:rPr>
          <w:color w:val="auto"/>
          <w:szCs w:val="21"/>
        </w:rPr>
      </w:pPr>
      <w:r>
        <w:rPr>
          <w:rFonts w:hint="eastAsia"/>
          <w:color w:val="auto"/>
          <w:szCs w:val="21"/>
        </w:rPr>
        <w:t>因本保函发生的纠纷，由你我双方协商解决，协商不成的，通过诉讼程序解决，诉讼管辖地法院为法院。</w:t>
      </w:r>
    </w:p>
    <w:p>
      <w:pPr>
        <w:spacing w:line="360" w:lineRule="auto"/>
        <w:ind w:firstLine="420" w:firstLineChars="200"/>
        <w:rPr>
          <w:color w:val="auto"/>
          <w:szCs w:val="21"/>
        </w:rPr>
      </w:pPr>
      <w:r>
        <w:rPr>
          <w:rFonts w:hint="eastAsia"/>
          <w:color w:val="auto"/>
          <w:szCs w:val="21"/>
        </w:rPr>
        <w:t>七、保函的生效</w:t>
      </w:r>
    </w:p>
    <w:p>
      <w:pPr>
        <w:spacing w:line="360" w:lineRule="auto"/>
        <w:ind w:firstLine="420" w:firstLineChars="200"/>
        <w:rPr>
          <w:color w:val="auto"/>
          <w:szCs w:val="21"/>
        </w:rPr>
      </w:pPr>
      <w:r>
        <w:rPr>
          <w:rFonts w:hint="eastAsia"/>
          <w:color w:val="auto"/>
          <w:szCs w:val="21"/>
        </w:rPr>
        <w:t>本保函自我方加盖公章之日起生效。</w:t>
      </w:r>
    </w:p>
    <w:p>
      <w:pPr>
        <w:spacing w:line="360" w:lineRule="auto"/>
        <w:rPr>
          <w:color w:val="auto"/>
          <w:szCs w:val="21"/>
        </w:rPr>
      </w:pPr>
    </w:p>
    <w:p>
      <w:pPr>
        <w:spacing w:line="360" w:lineRule="auto"/>
        <w:rPr>
          <w:color w:val="auto"/>
          <w:szCs w:val="21"/>
        </w:rPr>
      </w:pPr>
    </w:p>
    <w:p>
      <w:pPr>
        <w:spacing w:line="360" w:lineRule="auto"/>
        <w:ind w:firstLine="6090" w:firstLineChars="2900"/>
        <w:rPr>
          <w:color w:val="auto"/>
          <w:szCs w:val="21"/>
        </w:rPr>
      </w:pPr>
      <w:r>
        <w:rPr>
          <w:rFonts w:hint="eastAsia"/>
          <w:color w:val="auto"/>
          <w:szCs w:val="21"/>
        </w:rPr>
        <w:t>保证人：（公章）</w:t>
      </w:r>
    </w:p>
    <w:p>
      <w:pPr>
        <w:spacing w:line="360" w:lineRule="auto"/>
        <w:rPr>
          <w:color w:val="auto"/>
          <w:szCs w:val="21"/>
        </w:rPr>
      </w:pPr>
    </w:p>
    <w:p>
      <w:pPr>
        <w:spacing w:line="360" w:lineRule="auto"/>
        <w:rPr>
          <w:color w:val="auto"/>
        </w:rPr>
      </w:pPr>
      <w:r>
        <w:rPr>
          <w:rFonts w:hint="eastAsia"/>
          <w:color w:val="auto"/>
          <w:szCs w:val="21"/>
        </w:rPr>
        <w:t xml:space="preserve">                                                          年   月   日</w:t>
      </w:r>
    </w:p>
    <w:sectPr>
      <w:headerReference r:id="rId9" w:type="default"/>
      <w:footerReference r:id="rId10" w:type="default"/>
      <w:footerReference r:id="rId11" w:type="even"/>
      <w:pgSz w:w="11906" w:h="16838"/>
      <w:pgMar w:top="850" w:right="850" w:bottom="850" w:left="1134" w:header="851" w:footer="561" w:gutter="0"/>
      <w:cols w:space="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黑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hakuyoxingshu7000">
    <w:altName w:val="宋体"/>
    <w:panose1 w:val="00000000000000000000"/>
    <w:charset w:val="86"/>
    <w:family w:val="auto"/>
    <w:pitch w:val="default"/>
    <w:sig w:usb0="00000000" w:usb1="00000000" w:usb2="0000003F" w:usb3="00000000" w:csb0="603F00FF" w:csb1="FFFF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Pr>
    </w:pPr>
  </w:p>
  <w:p>
    <w:pPr>
      <w:pStyle w:val="21"/>
      <w:ind w:left="5040" w:right="360" w:hanging="5040" w:hangingChars="2800"/>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1"/>
                  <w:ind w:left="5040" w:right="360" w:hanging="5040" w:hangingChars="2800"/>
                </w:pPr>
                <w:r>
                  <w:fldChar w:fldCharType="begin"/>
                </w:r>
                <w:r>
                  <w:instrText xml:space="preserve"> PAGE </w:instrText>
                </w:r>
                <w:r>
                  <w:fldChar w:fldCharType="separate"/>
                </w:r>
                <w:r>
                  <w:t>36</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2"/>
      </w:rPr>
    </w:pPr>
    <w:r>
      <w:fldChar w:fldCharType="begin"/>
    </w:r>
    <w:r>
      <w:rPr>
        <w:rStyle w:val="32"/>
      </w:rPr>
      <w:instrText xml:space="preserve">PAGE  </w:instrText>
    </w:r>
    <w:r>
      <w:fldChar w:fldCharType="end"/>
    </w:r>
  </w:p>
  <w:p>
    <w:pPr>
      <w:pStyle w:val="2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180" w:firstLineChars="10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宋体" w:hAnsi="宋体"/>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73338661">
    <w:nsid w:val="1C369325"/>
    <w:multiLevelType w:val="singleLevel"/>
    <w:tmpl w:val="1C369325"/>
    <w:lvl w:ilvl="0" w:tentative="1">
      <w:start w:val="1"/>
      <w:numFmt w:val="chineseCounting"/>
      <w:suff w:val="space"/>
      <w:lvlText w:val="第%1章"/>
      <w:lvlJc w:val="left"/>
      <w:rPr>
        <w:rFonts w:hint="eastAsia"/>
      </w:rPr>
    </w:lvl>
  </w:abstractNum>
  <w:abstractNum w:abstractNumId="1486543531">
    <w:nsid w:val="589ADAAB"/>
    <w:multiLevelType w:val="singleLevel"/>
    <w:tmpl w:val="589ADAAB"/>
    <w:lvl w:ilvl="0" w:tentative="1">
      <w:start w:val="8"/>
      <w:numFmt w:val="decimal"/>
      <w:suff w:val="nothing"/>
      <w:lvlText w:val="（%1）"/>
      <w:lvlJc w:val="left"/>
    </w:lvl>
  </w:abstractNum>
  <w:abstractNum w:abstractNumId="1074548749">
    <w:nsid w:val="400C500D"/>
    <w:multiLevelType w:val="multilevel"/>
    <w:tmpl w:val="400C500D"/>
    <w:lvl w:ilvl="0" w:tentative="1">
      <w:start w:val="1"/>
      <w:numFmt w:val="decimal"/>
      <w:lvlText w:val="%1"/>
      <w:lvlJc w:val="left"/>
      <w:pPr>
        <w:ind w:left="420" w:hanging="420"/>
      </w:pPr>
      <w:rPr>
        <w:rFonts w:hint="eastAsia"/>
        <w:color w:val="auto"/>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47220505">
    <w:nsid w:val="3E6B5119"/>
    <w:multiLevelType w:val="multilevel"/>
    <w:tmpl w:val="3E6B5119"/>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967858088">
    <w:nsid w:val="39B057A8"/>
    <w:multiLevelType w:val="multilevel"/>
    <w:tmpl w:val="39B057A8"/>
    <w:lvl w:ilvl="0" w:tentative="1">
      <w:start w:val="1"/>
      <w:numFmt w:val="decimalEnclosedCircle"/>
      <w:lvlText w:val="%1"/>
      <w:lvlJc w:val="left"/>
      <w:pPr>
        <w:tabs>
          <w:tab w:val="left" w:pos="1353"/>
        </w:tabs>
        <w:ind w:left="1353"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33864556">
    <w:nsid w:val="19DC3F6C"/>
    <w:multiLevelType w:val="multilevel"/>
    <w:tmpl w:val="19DC3F6C"/>
    <w:lvl w:ilvl="0" w:tentative="1">
      <w:start w:val="1"/>
      <w:numFmt w:val="decimal"/>
      <w:lvlText w:val="（%1）"/>
      <w:lvlJc w:val="left"/>
      <w:pPr>
        <w:ind w:left="1271" w:hanging="420"/>
      </w:pPr>
      <w:rPr>
        <w:rFonts w:hint="default"/>
        <w:b w:val="0"/>
        <w:sz w:val="21"/>
        <w:szCs w:val="21"/>
      </w:rPr>
    </w:lvl>
    <w:lvl w:ilvl="1" w:tentative="1">
      <w:start w:val="1"/>
      <w:numFmt w:val="lowerLetter"/>
      <w:lvlText w:val="%2)"/>
      <w:lvlJc w:val="left"/>
      <w:pPr>
        <w:ind w:left="1691" w:hanging="420"/>
      </w:pPr>
    </w:lvl>
    <w:lvl w:ilvl="2" w:tentative="1">
      <w:start w:val="1"/>
      <w:numFmt w:val="lowerRoman"/>
      <w:lvlText w:val="%3."/>
      <w:lvlJc w:val="right"/>
      <w:pPr>
        <w:ind w:left="2111" w:hanging="420"/>
      </w:pPr>
    </w:lvl>
    <w:lvl w:ilvl="3" w:tentative="1">
      <w:start w:val="1"/>
      <w:numFmt w:val="decimal"/>
      <w:lvlText w:val="%4."/>
      <w:lvlJc w:val="left"/>
      <w:pPr>
        <w:ind w:left="2531" w:hanging="420"/>
      </w:pPr>
    </w:lvl>
    <w:lvl w:ilvl="4" w:tentative="1">
      <w:start w:val="1"/>
      <w:numFmt w:val="lowerLetter"/>
      <w:lvlText w:val="%5)"/>
      <w:lvlJc w:val="left"/>
      <w:pPr>
        <w:ind w:left="2951" w:hanging="420"/>
      </w:pPr>
    </w:lvl>
    <w:lvl w:ilvl="5" w:tentative="1">
      <w:start w:val="1"/>
      <w:numFmt w:val="lowerRoman"/>
      <w:lvlText w:val="%6."/>
      <w:lvlJc w:val="right"/>
      <w:pPr>
        <w:ind w:left="3371" w:hanging="420"/>
      </w:pPr>
    </w:lvl>
    <w:lvl w:ilvl="6" w:tentative="1">
      <w:start w:val="1"/>
      <w:numFmt w:val="decimal"/>
      <w:lvlText w:val="%7."/>
      <w:lvlJc w:val="left"/>
      <w:pPr>
        <w:ind w:left="3791" w:hanging="420"/>
      </w:pPr>
    </w:lvl>
    <w:lvl w:ilvl="7" w:tentative="1">
      <w:start w:val="1"/>
      <w:numFmt w:val="lowerLetter"/>
      <w:lvlText w:val="%8)"/>
      <w:lvlJc w:val="left"/>
      <w:pPr>
        <w:ind w:left="4211" w:hanging="420"/>
      </w:pPr>
    </w:lvl>
    <w:lvl w:ilvl="8" w:tentative="1">
      <w:start w:val="1"/>
      <w:numFmt w:val="lowerRoman"/>
      <w:lvlText w:val="%9."/>
      <w:lvlJc w:val="right"/>
      <w:pPr>
        <w:ind w:left="4631" w:hanging="420"/>
      </w:pPr>
    </w:lvl>
  </w:abstractNum>
  <w:abstractNum w:abstractNumId="2036030624">
    <w:nsid w:val="795B5CA0"/>
    <w:multiLevelType w:val="multilevel"/>
    <w:tmpl w:val="795B5CA0"/>
    <w:lvl w:ilvl="0" w:tentative="1">
      <w:start w:val="1"/>
      <w:numFmt w:val="decimalEnclosedCircle"/>
      <w:lvlText w:val="%1"/>
      <w:lvlJc w:val="left"/>
      <w:pPr>
        <w:tabs>
          <w:tab w:val="left" w:pos="1353"/>
        </w:tabs>
        <w:ind w:left="1353"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6">
    <w:nsid w:val="00000010"/>
    <w:multiLevelType w:val="multilevel"/>
    <w:tmpl w:val="00000010"/>
    <w:lvl w:ilvl="0" w:tentative="1">
      <w:start w:val="1"/>
      <w:numFmt w:val="decimal"/>
      <w:lvlText w:val="%1."/>
      <w:lvlJc w:val="left"/>
      <w:pPr>
        <w:tabs>
          <w:tab w:val="left" w:pos="851"/>
        </w:tabs>
        <w:ind w:left="851" w:hanging="851"/>
      </w:pPr>
      <w:rPr>
        <w:rFonts w:hint="eastAsia" w:ascii="宋体" w:eastAsia="宋体"/>
        <w:b/>
        <w:i w:val="0"/>
        <w:sz w:val="24"/>
      </w:rPr>
    </w:lvl>
    <w:lvl w:ilvl="1" w:tentative="1">
      <w:start w:val="1"/>
      <w:numFmt w:val="decimal"/>
      <w:lvlText w:val="%1.%2"/>
      <w:lvlJc w:val="left"/>
      <w:pPr>
        <w:tabs>
          <w:tab w:val="left" w:pos="851"/>
        </w:tabs>
        <w:ind w:left="851" w:hanging="851"/>
      </w:pPr>
      <w:rPr>
        <w:rFonts w:hint="eastAsia" w:ascii="宋体" w:eastAsia="宋体"/>
        <w:b w:val="0"/>
        <w:i w:val="0"/>
        <w:color w:val="auto"/>
        <w:sz w:val="21"/>
      </w:rPr>
    </w:lvl>
    <w:lvl w:ilvl="2" w:tentative="1">
      <w:start w:val="1"/>
      <w:numFmt w:val="decimal"/>
      <w:lvlText w:val="%1.%2.%3"/>
      <w:lvlJc w:val="left"/>
      <w:pPr>
        <w:tabs>
          <w:tab w:val="left" w:pos="851"/>
        </w:tabs>
        <w:ind w:left="851" w:hanging="851"/>
      </w:pPr>
      <w:rPr>
        <w:rFonts w:hint="eastAsia"/>
      </w:rPr>
    </w:lvl>
    <w:lvl w:ilvl="3" w:tentative="1">
      <w:start w:val="1"/>
      <w:numFmt w:val="decimal"/>
      <w:lvlText w:val="(%4)"/>
      <w:lvlJc w:val="left"/>
      <w:pPr>
        <w:tabs>
          <w:tab w:val="left" w:pos="851"/>
        </w:tabs>
        <w:ind w:left="851" w:hanging="567"/>
      </w:pPr>
      <w:rPr>
        <w:rFonts w:hint="eastAsia" w:ascii="宋体" w:eastAsia="宋体"/>
        <w:b w:val="0"/>
        <w:i w:val="0"/>
        <w:color w:val="000000"/>
        <w:sz w:val="21"/>
      </w:rPr>
    </w:lvl>
    <w:lvl w:ilvl="4" w:tentative="1">
      <w:start w:val="1"/>
      <w:numFmt w:val="decimal"/>
      <w:lvlText w:val="%1.%2.%3.%4.%5"/>
      <w:lvlJc w:val="left"/>
      <w:pPr>
        <w:tabs>
          <w:tab w:val="left" w:pos="420"/>
        </w:tabs>
        <w:ind w:left="420" w:hanging="420"/>
      </w:pPr>
      <w:rPr>
        <w:rFonts w:hint="eastAsia"/>
      </w:rPr>
    </w:lvl>
    <w:lvl w:ilvl="5" w:tentative="1">
      <w:start w:val="1"/>
      <w:numFmt w:val="decimal"/>
      <w:lvlText w:val="%1.%2.%3.%4.%5.%6"/>
      <w:lvlJc w:val="left"/>
      <w:pPr>
        <w:tabs>
          <w:tab w:val="left" w:pos="420"/>
        </w:tabs>
        <w:ind w:left="420" w:hanging="420"/>
      </w:pPr>
      <w:rPr>
        <w:rFonts w:hint="eastAsia"/>
      </w:rPr>
    </w:lvl>
    <w:lvl w:ilvl="6" w:tentative="1">
      <w:start w:val="1"/>
      <w:numFmt w:val="decimal"/>
      <w:lvlText w:val="%1.%2.%3.%4.%5.%6.%7"/>
      <w:lvlJc w:val="left"/>
      <w:pPr>
        <w:tabs>
          <w:tab w:val="left" w:pos="420"/>
        </w:tabs>
        <w:ind w:left="420" w:hanging="420"/>
      </w:pPr>
      <w:rPr>
        <w:rFonts w:hint="eastAsia"/>
      </w:rPr>
    </w:lvl>
    <w:lvl w:ilvl="7" w:tentative="1">
      <w:start w:val="1"/>
      <w:numFmt w:val="decimal"/>
      <w:lvlText w:val="%1.%2.%3.%4.%5.%6.%7.%8"/>
      <w:lvlJc w:val="left"/>
      <w:pPr>
        <w:tabs>
          <w:tab w:val="left" w:pos="420"/>
        </w:tabs>
        <w:ind w:left="420" w:hanging="420"/>
      </w:pPr>
      <w:rPr>
        <w:rFonts w:hint="eastAsia"/>
      </w:rPr>
    </w:lvl>
    <w:lvl w:ilvl="8" w:tentative="1">
      <w:start w:val="1"/>
      <w:numFmt w:val="decimal"/>
      <w:lvlText w:val="%1.%2.%3.%4.%5.%6.%7.%8.%9"/>
      <w:lvlJc w:val="left"/>
      <w:pPr>
        <w:tabs>
          <w:tab w:val="left" w:pos="420"/>
        </w:tabs>
        <w:ind w:left="420" w:hanging="420"/>
      </w:pPr>
      <w:rPr>
        <w:rFonts w:hint="eastAsia"/>
      </w:rPr>
    </w:lvl>
  </w:abstractNum>
  <w:abstractNum w:abstractNumId="1651907870">
    <w:nsid w:val="62761D1E"/>
    <w:multiLevelType w:val="multilevel"/>
    <w:tmpl w:val="62761D1E"/>
    <w:lvl w:ilvl="0" w:tentative="1">
      <w:start w:val="1"/>
      <w:numFmt w:val="decimal"/>
      <w:lvlText w:val="%1"/>
      <w:lvlJc w:val="left"/>
      <w:pPr>
        <w:tabs>
          <w:tab w:val="left" w:pos="425"/>
        </w:tabs>
        <w:ind w:left="425" w:hanging="425"/>
      </w:pPr>
      <w:rPr>
        <w:rFonts w:hint="eastAsia"/>
        <w:b/>
      </w:rPr>
    </w:lvl>
    <w:lvl w:ilvl="1" w:tentative="1">
      <w:start w:val="1"/>
      <w:numFmt w:val="decimal"/>
      <w:lvlText w:val="%1.%2"/>
      <w:lvlJc w:val="left"/>
      <w:pPr>
        <w:tabs>
          <w:tab w:val="left" w:pos="992"/>
        </w:tabs>
        <w:ind w:left="992" w:hanging="567"/>
      </w:pPr>
      <w:rPr>
        <w:rFonts w:hint="eastAsia"/>
      </w:rPr>
    </w:lvl>
    <w:lvl w:ilvl="2" w:tentative="1">
      <w:start w:val="1"/>
      <w:numFmt w:val="decimal"/>
      <w:lvlText w:val="%1.%2.%3"/>
      <w:lvlJc w:val="left"/>
      <w:pPr>
        <w:tabs>
          <w:tab w:val="left" w:pos="1418"/>
        </w:tabs>
        <w:ind w:left="1418" w:hanging="567"/>
      </w:pPr>
      <w:rPr>
        <w:rFonts w:hint="eastAsia"/>
      </w:rPr>
    </w:lvl>
    <w:lvl w:ilvl="3" w:tentative="1">
      <w:start w:val="1"/>
      <w:numFmt w:val="decimal"/>
      <w:lvlText w:val="%1.%2.%3.%4"/>
      <w:lvlJc w:val="left"/>
      <w:pPr>
        <w:tabs>
          <w:tab w:val="left" w:pos="2356"/>
        </w:tabs>
        <w:ind w:left="1984" w:hanging="708"/>
      </w:pPr>
      <w:rPr>
        <w:rFonts w:hint="eastAsia"/>
      </w:rPr>
    </w:lvl>
    <w:lvl w:ilvl="4" w:tentative="1">
      <w:start w:val="1"/>
      <w:numFmt w:val="decimal"/>
      <w:lvlText w:val="%1.%2.%3.%4.%5"/>
      <w:lvlJc w:val="left"/>
      <w:pPr>
        <w:tabs>
          <w:tab w:val="left" w:pos="2781"/>
        </w:tabs>
        <w:ind w:left="2551" w:hanging="850"/>
      </w:pPr>
      <w:rPr>
        <w:rFonts w:hint="eastAsia"/>
      </w:rPr>
    </w:lvl>
    <w:lvl w:ilvl="5" w:tentative="1">
      <w:start w:val="1"/>
      <w:numFmt w:val="decimal"/>
      <w:lvlText w:val="%1.%2.%3.%4.%5.%6"/>
      <w:lvlJc w:val="left"/>
      <w:pPr>
        <w:tabs>
          <w:tab w:val="left" w:pos="3566"/>
        </w:tabs>
        <w:ind w:left="3260" w:hanging="1134"/>
      </w:pPr>
      <w:rPr>
        <w:rFonts w:hint="eastAsia"/>
      </w:rPr>
    </w:lvl>
    <w:lvl w:ilvl="6" w:tentative="1">
      <w:start w:val="1"/>
      <w:numFmt w:val="decimal"/>
      <w:lvlText w:val="%1.%2.%3.%4.%5.%6.%7"/>
      <w:lvlJc w:val="left"/>
      <w:pPr>
        <w:tabs>
          <w:tab w:val="left" w:pos="3991"/>
        </w:tabs>
        <w:ind w:left="3827" w:hanging="1276"/>
      </w:pPr>
      <w:rPr>
        <w:rFonts w:hint="eastAsia"/>
      </w:rPr>
    </w:lvl>
    <w:lvl w:ilvl="7" w:tentative="1">
      <w:start w:val="1"/>
      <w:numFmt w:val="decimal"/>
      <w:lvlText w:val="%1.%2.%3.%4.%5.%6.%7.%8"/>
      <w:lvlJc w:val="left"/>
      <w:pPr>
        <w:tabs>
          <w:tab w:val="left" w:pos="4776"/>
        </w:tabs>
        <w:ind w:left="4394" w:hanging="1418"/>
      </w:pPr>
      <w:rPr>
        <w:rFonts w:hint="eastAsia"/>
      </w:rPr>
    </w:lvl>
    <w:lvl w:ilvl="8" w:tentative="1">
      <w:start w:val="1"/>
      <w:numFmt w:val="decimal"/>
      <w:lvlText w:val="%1.%2.%3.%4.%5.%6.%7.%8.%9"/>
      <w:lvlJc w:val="left"/>
      <w:pPr>
        <w:tabs>
          <w:tab w:val="left" w:pos="5202"/>
        </w:tabs>
        <w:ind w:left="5102" w:hanging="1700"/>
      </w:pPr>
      <w:rPr>
        <w:rFonts w:hint="eastAsia"/>
      </w:rPr>
    </w:lvl>
  </w:abstractNum>
  <w:abstractNum w:abstractNumId="1501573798">
    <w:nsid w:val="598032A6"/>
    <w:multiLevelType w:val="singleLevel"/>
    <w:tmpl w:val="598032A6"/>
    <w:lvl w:ilvl="0" w:tentative="1">
      <w:start w:val="1"/>
      <w:numFmt w:val="decimal"/>
      <w:suff w:val="nothing"/>
      <w:lvlText w:val="%1."/>
      <w:lvlJc w:val="left"/>
    </w:lvl>
  </w:abstractNum>
  <w:abstractNum w:abstractNumId="1485657350">
    <w:nsid w:val="588D5506"/>
    <w:multiLevelType w:val="multilevel"/>
    <w:tmpl w:val="588D5506"/>
    <w:lvl w:ilvl="0" w:tentative="1">
      <w:start w:val="1"/>
      <w:numFmt w:val="decimalEnclosedCircle"/>
      <w:lvlText w:val="%1"/>
      <w:lvlJc w:val="left"/>
      <w:pPr>
        <w:tabs>
          <w:tab w:val="left" w:pos="1353"/>
        </w:tabs>
        <w:ind w:left="1353"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64555780">
    <w:nsid w:val="33881304"/>
    <w:multiLevelType w:val="multilevel"/>
    <w:tmpl w:val="33881304"/>
    <w:lvl w:ilvl="0" w:tentative="1">
      <w:start w:val="1"/>
      <w:numFmt w:val="decimalEnclosedCircle"/>
      <w:lvlText w:val="%1"/>
      <w:lvlJc w:val="left"/>
      <w:pPr>
        <w:tabs>
          <w:tab w:val="left" w:pos="1353"/>
        </w:tabs>
        <w:ind w:left="1353"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87435479">
    <w:nsid w:val="5E9E57D7"/>
    <w:multiLevelType w:val="multilevel"/>
    <w:tmpl w:val="5E9E57D7"/>
    <w:lvl w:ilvl="0" w:tentative="1">
      <w:start w:val="8"/>
      <w:numFmt w:val="japaneseCounting"/>
      <w:lvlText w:val="%1、"/>
      <w:lvlJc w:val="left"/>
      <w:pPr>
        <w:ind w:left="480" w:hanging="48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54756004">
    <w:nsid w:val="6E8D54A4"/>
    <w:multiLevelType w:val="multilevel"/>
    <w:tmpl w:val="6E8D54A4"/>
    <w:lvl w:ilvl="0" w:tentative="1">
      <w:start w:val="1"/>
      <w:numFmt w:val="decimalEnclosedCircle"/>
      <w:lvlText w:val="%1"/>
      <w:lvlJc w:val="left"/>
      <w:pPr>
        <w:tabs>
          <w:tab w:val="left" w:pos="1353"/>
        </w:tabs>
        <w:ind w:left="1353"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87435490">
    <w:nsid w:val="5E9E57E2"/>
    <w:multiLevelType w:val="multilevel"/>
    <w:tmpl w:val="5E9E57E2"/>
    <w:lvl w:ilvl="0" w:tentative="1">
      <w:start w:val="1"/>
      <w:numFmt w:val="decimal"/>
      <w:lvlText w:val="%1、"/>
      <w:lvlJc w:val="left"/>
      <w:pPr>
        <w:tabs>
          <w:tab w:val="left" w:pos="360"/>
        </w:tabs>
        <w:ind w:left="360" w:hanging="360"/>
      </w:pPr>
    </w:lvl>
    <w:lvl w:ilvl="1" w:tentative="1">
      <w:start w:val="3"/>
      <w:numFmt w:val="japaneseCounting"/>
      <w:lvlText w:val="%2、"/>
      <w:lvlJc w:val="left"/>
      <w:pPr>
        <w:tabs>
          <w:tab w:val="left" w:pos="900"/>
        </w:tabs>
        <w:ind w:left="900" w:hanging="48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538927124">
    <w:nsid w:val="5BBA2A14"/>
    <w:multiLevelType w:val="multilevel"/>
    <w:tmpl w:val="5BBA2A14"/>
    <w:lvl w:ilvl="0" w:tentative="1">
      <w:start w:val="3"/>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8289440">
    <w:nsid w:val="03796D20"/>
    <w:multiLevelType w:val="multilevel"/>
    <w:tmpl w:val="03796D20"/>
    <w:lvl w:ilvl="0" w:tentative="1">
      <w:start w:val="1"/>
      <w:numFmt w:val="japaneseCounting"/>
      <w:lvlText w:val="（%1）"/>
      <w:lvlJc w:val="left"/>
      <w:pPr>
        <w:ind w:left="900" w:hanging="90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87435468">
    <w:nsid w:val="5E9E57CC"/>
    <w:multiLevelType w:val="multilevel"/>
    <w:tmpl w:val="5E9E57CC"/>
    <w:lvl w:ilvl="0" w:tentative="1">
      <w:start w:val="1"/>
      <w:numFmt w:val="japaneseCounting"/>
      <w:lvlText w:val="%1、"/>
      <w:lvlJc w:val="left"/>
      <w:pPr>
        <w:tabs>
          <w:tab w:val="left" w:pos="720"/>
        </w:tabs>
        <w:ind w:left="720" w:hanging="720"/>
      </w:pPr>
    </w:lvl>
    <w:lvl w:ilvl="1" w:tentative="1">
      <w:start w:val="1"/>
      <w:numFmt w:val="chineseCountingThousand"/>
      <w:lvlText w:val="%2、"/>
      <w:lvlJc w:val="left"/>
      <w:pPr>
        <w:tabs>
          <w:tab w:val="left" w:pos="862"/>
        </w:tabs>
        <w:ind w:left="862" w:hanging="72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83787674">
    <w:nsid w:val="468F2A9A"/>
    <w:multiLevelType w:val="multilevel"/>
    <w:tmpl w:val="468F2A9A"/>
    <w:lvl w:ilvl="0" w:tentative="1">
      <w:start w:val="1"/>
      <w:numFmt w:val="decimal"/>
      <w:lvlText w:val="%1."/>
      <w:lvlJc w:val="left"/>
      <w:pPr>
        <w:tabs>
          <w:tab w:val="left" w:pos="851"/>
        </w:tabs>
        <w:ind w:left="851" w:hanging="851"/>
      </w:pPr>
      <w:rPr>
        <w:rFonts w:hint="eastAsia" w:ascii="宋体" w:eastAsia="宋体"/>
        <w:b/>
        <w:i w:val="0"/>
        <w:sz w:val="24"/>
      </w:rPr>
    </w:lvl>
    <w:lvl w:ilvl="1" w:tentative="1">
      <w:start w:val="1"/>
      <w:numFmt w:val="decimal"/>
      <w:lvlText w:val="%1.%2"/>
      <w:lvlJc w:val="left"/>
      <w:pPr>
        <w:tabs>
          <w:tab w:val="left" w:pos="851"/>
        </w:tabs>
        <w:ind w:left="851" w:hanging="851"/>
      </w:pPr>
      <w:rPr>
        <w:rFonts w:hint="eastAsia" w:ascii="宋体" w:eastAsia="宋体"/>
        <w:b w:val="0"/>
        <w:i w:val="0"/>
        <w:color w:val="auto"/>
        <w:sz w:val="21"/>
      </w:rPr>
    </w:lvl>
    <w:lvl w:ilvl="2" w:tentative="1">
      <w:start w:val="1"/>
      <w:numFmt w:val="decimal"/>
      <w:lvlText w:val="%1.%2.%3"/>
      <w:lvlJc w:val="left"/>
      <w:pPr>
        <w:tabs>
          <w:tab w:val="left" w:pos="851"/>
        </w:tabs>
        <w:ind w:left="851" w:hanging="851"/>
      </w:pPr>
      <w:rPr>
        <w:rFonts w:hint="eastAsia"/>
      </w:rPr>
    </w:lvl>
    <w:lvl w:ilvl="3" w:tentative="1">
      <w:start w:val="1"/>
      <w:numFmt w:val="decimal"/>
      <w:lvlText w:val="(%4)"/>
      <w:lvlJc w:val="left"/>
      <w:pPr>
        <w:tabs>
          <w:tab w:val="left" w:pos="851"/>
        </w:tabs>
        <w:ind w:left="851" w:hanging="567"/>
      </w:pPr>
      <w:rPr>
        <w:rFonts w:hint="eastAsia" w:ascii="宋体" w:eastAsia="宋体"/>
        <w:b w:val="0"/>
        <w:i w:val="0"/>
        <w:color w:val="000000"/>
        <w:sz w:val="21"/>
      </w:rPr>
    </w:lvl>
    <w:lvl w:ilvl="4" w:tentative="1">
      <w:start w:val="1"/>
      <w:numFmt w:val="decimal"/>
      <w:lvlText w:val="%1.%2.%3.%4.%5"/>
      <w:lvlJc w:val="left"/>
      <w:pPr>
        <w:tabs>
          <w:tab w:val="left" w:pos="420"/>
        </w:tabs>
        <w:ind w:left="420" w:hanging="420"/>
      </w:pPr>
      <w:rPr>
        <w:rFonts w:hint="eastAsia"/>
      </w:rPr>
    </w:lvl>
    <w:lvl w:ilvl="5" w:tentative="1">
      <w:start w:val="1"/>
      <w:numFmt w:val="decimal"/>
      <w:lvlText w:val="%1.%2.%3.%4.%5.%6"/>
      <w:lvlJc w:val="left"/>
      <w:pPr>
        <w:tabs>
          <w:tab w:val="left" w:pos="420"/>
        </w:tabs>
        <w:ind w:left="420" w:hanging="420"/>
      </w:pPr>
      <w:rPr>
        <w:rFonts w:hint="eastAsia"/>
      </w:rPr>
    </w:lvl>
    <w:lvl w:ilvl="6" w:tentative="1">
      <w:start w:val="1"/>
      <w:numFmt w:val="decimal"/>
      <w:lvlText w:val="%1.%2.%3.%4.%5.%6.%7"/>
      <w:lvlJc w:val="left"/>
      <w:pPr>
        <w:tabs>
          <w:tab w:val="left" w:pos="420"/>
        </w:tabs>
        <w:ind w:left="420" w:hanging="420"/>
      </w:pPr>
      <w:rPr>
        <w:rFonts w:hint="eastAsia"/>
      </w:rPr>
    </w:lvl>
    <w:lvl w:ilvl="7" w:tentative="1">
      <w:start w:val="1"/>
      <w:numFmt w:val="decimal"/>
      <w:lvlText w:val="%1.%2.%3.%4.%5.%6.%7.%8"/>
      <w:lvlJc w:val="left"/>
      <w:pPr>
        <w:tabs>
          <w:tab w:val="left" w:pos="420"/>
        </w:tabs>
        <w:ind w:left="420" w:hanging="420"/>
      </w:pPr>
      <w:rPr>
        <w:rFonts w:hint="eastAsia"/>
      </w:rPr>
    </w:lvl>
    <w:lvl w:ilvl="8" w:tentative="1">
      <w:start w:val="1"/>
      <w:numFmt w:val="decimal"/>
      <w:lvlText w:val="%1.%2.%3.%4.%5.%6.%7.%8.%9"/>
      <w:lvlJc w:val="left"/>
      <w:pPr>
        <w:tabs>
          <w:tab w:val="left" w:pos="420"/>
        </w:tabs>
        <w:ind w:left="420" w:hanging="420"/>
      </w:pPr>
      <w:rPr>
        <w:rFonts w:hint="eastAsia"/>
      </w:rPr>
    </w:lvl>
  </w:abstractNum>
  <w:abstractNum w:abstractNumId="1587435501">
    <w:nsid w:val="5E9E57ED"/>
    <w:multiLevelType w:val="multilevel"/>
    <w:tmpl w:val="5E9E57ED"/>
    <w:lvl w:ilvl="0" w:tentative="1">
      <w:start w:val="4"/>
      <w:numFmt w:val="decimal"/>
      <w:lvlText w:val="（%1）"/>
      <w:lvlJc w:val="left"/>
      <w:pPr>
        <w:tabs>
          <w:tab w:val="left" w:pos="720"/>
        </w:tabs>
        <w:ind w:left="720" w:hanging="720"/>
      </w:pPr>
      <w:rPr>
        <w:lang w:val="en-US"/>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587435523">
    <w:nsid w:val="5E9E5803"/>
    <w:multiLevelType w:val="multilevel"/>
    <w:tmpl w:val="5E9E5803"/>
    <w:lvl w:ilvl="0" w:tentative="1">
      <w:start w:val="12"/>
      <w:numFmt w:val="decimal"/>
      <w:lvlText w:val="（%1）"/>
      <w:lvlJc w:val="left"/>
      <w:pPr>
        <w:tabs>
          <w:tab w:val="left" w:pos="720"/>
        </w:tabs>
        <w:ind w:left="720" w:hanging="720"/>
      </w:pPr>
    </w:lvl>
    <w:lvl w:ilvl="1" w:tentative="1">
      <w:start w:val="1"/>
      <w:numFmt w:val="decimal"/>
      <w:lvlText w:val="%2）"/>
      <w:lvlJc w:val="left"/>
      <w:pPr>
        <w:tabs>
          <w:tab w:val="left" w:pos="780"/>
        </w:tabs>
        <w:ind w:left="780" w:hanging="36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50">
    <w:nsid w:val="00000032"/>
    <w:multiLevelType w:val="multilevel"/>
    <w:tmpl w:val="00000032"/>
    <w:lvl w:ilvl="0" w:tentative="1">
      <w:start w:val="1"/>
      <w:numFmt w:val="decimal"/>
      <w:lvlText w:val="（%1）"/>
      <w:lvlJc w:val="left"/>
      <w:pPr>
        <w:tabs>
          <w:tab w:val="left" w:pos="1080"/>
        </w:tabs>
        <w:ind w:left="1080" w:hanging="1080"/>
      </w:pPr>
    </w:lvl>
    <w:lvl w:ilvl="1" w:tentative="1">
      <w:start w:val="1"/>
      <w:numFmt w:val="bullet"/>
      <w:lvlText w:val=""/>
      <w:lvlJc w:val="left"/>
      <w:pPr>
        <w:tabs>
          <w:tab w:val="left" w:pos="600"/>
        </w:tabs>
        <w:ind w:left="600" w:hanging="420"/>
      </w:pPr>
      <w:rPr>
        <w:rFonts w:hint="default" w:ascii="Wingdings" w:hAnsi="Wingdings"/>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87435534">
    <w:nsid w:val="5E9E580E"/>
    <w:multiLevelType w:val="multilevel"/>
    <w:tmpl w:val="5E9E580E"/>
    <w:lvl w:ilvl="0" w:tentative="1">
      <w:start w:val="1"/>
      <w:numFmt w:val="decimal"/>
      <w:lvlText w:val="%1."/>
      <w:lvlJc w:val="left"/>
      <w:pPr>
        <w:tabs>
          <w:tab w:val="left" w:pos="360"/>
        </w:tabs>
        <w:ind w:left="360" w:hanging="360"/>
      </w:pPr>
      <w:rPr>
        <w:b/>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587435512">
    <w:nsid w:val="5E9E57F8"/>
    <w:multiLevelType w:val="multilevel"/>
    <w:tmpl w:val="5E9E57F8"/>
    <w:lvl w:ilvl="0" w:tentative="1">
      <w:start w:val="9"/>
      <w:numFmt w:val="decimal"/>
      <w:lvlText w:val="（%1）"/>
      <w:lvlJc w:val="left"/>
      <w:pPr>
        <w:tabs>
          <w:tab w:val="left" w:pos="720"/>
        </w:tabs>
        <w:ind w:left="720" w:hanging="720"/>
      </w:pPr>
      <w:rPr>
        <w:lang w:val="en-US"/>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587435545">
    <w:nsid w:val="5E9E5819"/>
    <w:multiLevelType w:val="multilevel"/>
    <w:tmpl w:val="5E9E5819"/>
    <w:lvl w:ilvl="0" w:tentative="1">
      <w:start w:val="1"/>
      <w:numFmt w:val="decimal"/>
      <w:lvlText w:val="%1、"/>
      <w:lvlJc w:val="left"/>
      <w:pPr>
        <w:tabs>
          <w:tab w:val="left" w:pos="360"/>
        </w:tabs>
        <w:ind w:left="360" w:hanging="360"/>
      </w:p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546790024">
    <w:nsid w:val="5C322488"/>
    <w:multiLevelType w:val="multilevel"/>
    <w:tmpl w:val="5C322488"/>
    <w:lvl w:ilvl="0" w:tentative="1">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91664304">
    <w:nsid w:val="411179B0"/>
    <w:multiLevelType w:val="multilevel"/>
    <w:tmpl w:val="411179B0"/>
    <w:lvl w:ilvl="0" w:tentative="1">
      <w:start w:val="1"/>
      <w:numFmt w:val="decimal"/>
      <w:lvlText w:val="%1."/>
      <w:lvlJc w:val="left"/>
      <w:pPr>
        <w:tabs>
          <w:tab w:val="left" w:pos="851"/>
        </w:tabs>
        <w:ind w:left="851" w:hanging="851"/>
      </w:pPr>
      <w:rPr>
        <w:rFonts w:hint="eastAsia" w:ascii="宋体" w:eastAsia="宋体"/>
        <w:b/>
        <w:i w:val="0"/>
        <w:sz w:val="24"/>
      </w:rPr>
    </w:lvl>
    <w:lvl w:ilvl="1" w:tentative="1">
      <w:start w:val="1"/>
      <w:numFmt w:val="decimal"/>
      <w:lvlText w:val="%1.%2"/>
      <w:lvlJc w:val="left"/>
      <w:pPr>
        <w:tabs>
          <w:tab w:val="left" w:pos="851"/>
        </w:tabs>
        <w:ind w:left="851" w:hanging="851"/>
      </w:pPr>
      <w:rPr>
        <w:rFonts w:hint="eastAsia" w:ascii="宋体" w:eastAsia="宋体"/>
        <w:b w:val="0"/>
        <w:i w:val="0"/>
        <w:color w:val="auto"/>
        <w:sz w:val="21"/>
      </w:rPr>
    </w:lvl>
    <w:lvl w:ilvl="2" w:tentative="1">
      <w:start w:val="1"/>
      <w:numFmt w:val="decimal"/>
      <w:lvlText w:val="%1.%2.%3"/>
      <w:lvlJc w:val="left"/>
      <w:pPr>
        <w:tabs>
          <w:tab w:val="left" w:pos="851"/>
        </w:tabs>
        <w:ind w:left="851" w:hanging="851"/>
      </w:pPr>
      <w:rPr>
        <w:rFonts w:hint="eastAsia"/>
      </w:rPr>
    </w:lvl>
    <w:lvl w:ilvl="3" w:tentative="1">
      <w:start w:val="1"/>
      <w:numFmt w:val="decimal"/>
      <w:lvlText w:val="(%4)"/>
      <w:lvlJc w:val="left"/>
      <w:pPr>
        <w:tabs>
          <w:tab w:val="left" w:pos="851"/>
        </w:tabs>
        <w:ind w:left="851" w:hanging="567"/>
      </w:pPr>
      <w:rPr>
        <w:rFonts w:hint="eastAsia" w:ascii="宋体" w:eastAsia="宋体"/>
        <w:b w:val="0"/>
        <w:i w:val="0"/>
        <w:color w:val="000000"/>
        <w:sz w:val="21"/>
      </w:rPr>
    </w:lvl>
    <w:lvl w:ilvl="4" w:tentative="1">
      <w:start w:val="1"/>
      <w:numFmt w:val="decimal"/>
      <w:lvlText w:val="%1.%2.%3.%4.%5"/>
      <w:lvlJc w:val="left"/>
      <w:pPr>
        <w:tabs>
          <w:tab w:val="left" w:pos="420"/>
        </w:tabs>
        <w:ind w:left="420" w:hanging="420"/>
      </w:pPr>
      <w:rPr>
        <w:rFonts w:hint="eastAsia"/>
      </w:rPr>
    </w:lvl>
    <w:lvl w:ilvl="5" w:tentative="1">
      <w:start w:val="1"/>
      <w:numFmt w:val="decimal"/>
      <w:lvlText w:val="%1.%2.%3.%4.%5.%6"/>
      <w:lvlJc w:val="left"/>
      <w:pPr>
        <w:tabs>
          <w:tab w:val="left" w:pos="420"/>
        </w:tabs>
        <w:ind w:left="420" w:hanging="420"/>
      </w:pPr>
      <w:rPr>
        <w:rFonts w:hint="eastAsia"/>
      </w:rPr>
    </w:lvl>
    <w:lvl w:ilvl="6" w:tentative="1">
      <w:start w:val="1"/>
      <w:numFmt w:val="decimal"/>
      <w:lvlText w:val="%1.%2.%3.%4.%5.%6.%7"/>
      <w:lvlJc w:val="left"/>
      <w:pPr>
        <w:tabs>
          <w:tab w:val="left" w:pos="420"/>
        </w:tabs>
        <w:ind w:left="420" w:hanging="420"/>
      </w:pPr>
      <w:rPr>
        <w:rFonts w:hint="eastAsia"/>
      </w:rPr>
    </w:lvl>
    <w:lvl w:ilvl="7" w:tentative="1">
      <w:start w:val="1"/>
      <w:numFmt w:val="decimal"/>
      <w:lvlText w:val="%1.%2.%3.%4.%5.%6.%7.%8"/>
      <w:lvlJc w:val="left"/>
      <w:pPr>
        <w:tabs>
          <w:tab w:val="left" w:pos="420"/>
        </w:tabs>
        <w:ind w:left="420" w:hanging="420"/>
      </w:pPr>
      <w:rPr>
        <w:rFonts w:hint="eastAsia"/>
      </w:rPr>
    </w:lvl>
    <w:lvl w:ilvl="8" w:tentative="1">
      <w:start w:val="1"/>
      <w:numFmt w:val="decimal"/>
      <w:lvlText w:val="%1.%2.%3.%4.%5.%6.%7.%8.%9"/>
      <w:lvlJc w:val="left"/>
      <w:pPr>
        <w:tabs>
          <w:tab w:val="left" w:pos="420"/>
        </w:tabs>
        <w:ind w:left="420" w:hanging="420"/>
      </w:pPr>
      <w:rPr>
        <w:rFonts w:hint="eastAsia"/>
      </w:rPr>
    </w:lvl>
  </w:abstractNum>
  <w:abstractNum w:abstractNumId="1477624486">
    <w:nsid w:val="5812C2A6"/>
    <w:multiLevelType w:val="singleLevel"/>
    <w:tmpl w:val="5812C2A6"/>
    <w:lvl w:ilvl="0" w:tentative="1">
      <w:start w:val="1"/>
      <w:numFmt w:val="decimal"/>
      <w:suff w:val="nothing"/>
      <w:lvlText w:val="（%1）"/>
      <w:lvlJc w:val="left"/>
    </w:lvl>
  </w:abstractNum>
  <w:abstractNum w:abstractNumId="2033219400">
    <w:nsid w:val="79307748"/>
    <w:multiLevelType w:val="multilevel"/>
    <w:tmpl w:val="79307748"/>
    <w:lvl w:ilvl="0" w:tentative="1">
      <w:start w:val="1"/>
      <w:numFmt w:val="decimal"/>
      <w:lvlText w:val="%1."/>
      <w:lvlJc w:val="left"/>
      <w:pPr>
        <w:tabs>
          <w:tab w:val="left" w:pos="851"/>
        </w:tabs>
        <w:ind w:left="851" w:hanging="851"/>
      </w:pPr>
      <w:rPr>
        <w:rFonts w:hint="eastAsia" w:ascii="宋体" w:eastAsia="宋体"/>
        <w:b/>
        <w:i w:val="0"/>
        <w:sz w:val="24"/>
      </w:rPr>
    </w:lvl>
    <w:lvl w:ilvl="1" w:tentative="1">
      <w:start w:val="1"/>
      <w:numFmt w:val="decimal"/>
      <w:lvlText w:val="%1.%2"/>
      <w:lvlJc w:val="left"/>
      <w:pPr>
        <w:tabs>
          <w:tab w:val="left" w:pos="851"/>
        </w:tabs>
        <w:ind w:left="851" w:hanging="851"/>
      </w:pPr>
      <w:rPr>
        <w:rFonts w:hint="eastAsia" w:ascii="宋体" w:eastAsia="宋体"/>
        <w:b w:val="0"/>
        <w:i w:val="0"/>
        <w:color w:val="auto"/>
        <w:sz w:val="21"/>
      </w:rPr>
    </w:lvl>
    <w:lvl w:ilvl="2" w:tentative="1">
      <w:start w:val="1"/>
      <w:numFmt w:val="decimal"/>
      <w:lvlText w:val="%1.%2.%3"/>
      <w:lvlJc w:val="left"/>
      <w:pPr>
        <w:tabs>
          <w:tab w:val="left" w:pos="851"/>
        </w:tabs>
        <w:ind w:left="851" w:hanging="851"/>
      </w:pPr>
      <w:rPr>
        <w:rFonts w:hint="eastAsia"/>
      </w:rPr>
    </w:lvl>
    <w:lvl w:ilvl="3" w:tentative="1">
      <w:start w:val="1"/>
      <w:numFmt w:val="decimal"/>
      <w:lvlText w:val="(%4)"/>
      <w:lvlJc w:val="left"/>
      <w:pPr>
        <w:tabs>
          <w:tab w:val="left" w:pos="851"/>
        </w:tabs>
        <w:ind w:left="851" w:hanging="567"/>
      </w:pPr>
      <w:rPr>
        <w:rFonts w:hint="eastAsia" w:ascii="宋体" w:eastAsia="宋体"/>
        <w:b w:val="0"/>
        <w:i w:val="0"/>
        <w:color w:val="000000"/>
        <w:sz w:val="21"/>
      </w:rPr>
    </w:lvl>
    <w:lvl w:ilvl="4" w:tentative="1">
      <w:start w:val="1"/>
      <w:numFmt w:val="decimal"/>
      <w:lvlText w:val="%1.%2.%3.%4.%5"/>
      <w:lvlJc w:val="left"/>
      <w:pPr>
        <w:tabs>
          <w:tab w:val="left" w:pos="420"/>
        </w:tabs>
        <w:ind w:left="420" w:hanging="420"/>
      </w:pPr>
      <w:rPr>
        <w:rFonts w:hint="eastAsia"/>
      </w:rPr>
    </w:lvl>
    <w:lvl w:ilvl="5" w:tentative="1">
      <w:start w:val="1"/>
      <w:numFmt w:val="decimal"/>
      <w:lvlText w:val="%1.%2.%3.%4.%5.%6"/>
      <w:lvlJc w:val="left"/>
      <w:pPr>
        <w:tabs>
          <w:tab w:val="left" w:pos="420"/>
        </w:tabs>
        <w:ind w:left="420" w:hanging="420"/>
      </w:pPr>
      <w:rPr>
        <w:rFonts w:hint="eastAsia"/>
      </w:rPr>
    </w:lvl>
    <w:lvl w:ilvl="6" w:tentative="1">
      <w:start w:val="1"/>
      <w:numFmt w:val="decimal"/>
      <w:lvlText w:val="%1.%2.%3.%4.%5.%6.%7"/>
      <w:lvlJc w:val="left"/>
      <w:pPr>
        <w:tabs>
          <w:tab w:val="left" w:pos="420"/>
        </w:tabs>
        <w:ind w:left="420" w:hanging="420"/>
      </w:pPr>
      <w:rPr>
        <w:rFonts w:hint="eastAsia"/>
      </w:rPr>
    </w:lvl>
    <w:lvl w:ilvl="7" w:tentative="1">
      <w:start w:val="1"/>
      <w:numFmt w:val="decimal"/>
      <w:lvlText w:val="%1.%2.%3.%4.%5.%6.%7.%8"/>
      <w:lvlJc w:val="left"/>
      <w:pPr>
        <w:tabs>
          <w:tab w:val="left" w:pos="420"/>
        </w:tabs>
        <w:ind w:left="420" w:hanging="420"/>
      </w:pPr>
      <w:rPr>
        <w:rFonts w:hint="eastAsia"/>
      </w:rPr>
    </w:lvl>
    <w:lvl w:ilvl="8" w:tentative="1">
      <w:start w:val="1"/>
      <w:numFmt w:val="decimal"/>
      <w:lvlText w:val="%1.%2.%3.%4.%5.%6.%7.%8.%9"/>
      <w:lvlJc w:val="left"/>
      <w:pPr>
        <w:tabs>
          <w:tab w:val="left" w:pos="420"/>
        </w:tabs>
        <w:ind w:left="420" w:hanging="420"/>
      </w:pPr>
      <w:rPr>
        <w:rFonts w:hint="eastAsia"/>
      </w:rPr>
    </w:lvl>
  </w:abstractNum>
  <w:abstractNum w:abstractNumId="1326475001">
    <w:nsid w:val="4F1066F9"/>
    <w:multiLevelType w:val="multilevel"/>
    <w:tmpl w:val="4F1066F9"/>
    <w:lvl w:ilvl="0" w:tentative="1">
      <w:start w:val="1"/>
      <w:numFmt w:val="upperLetter"/>
      <w:lvlText w:val="%1."/>
      <w:lvlJc w:val="left"/>
      <w:pPr>
        <w:ind w:left="782" w:hanging="360"/>
      </w:pPr>
      <w:rPr>
        <w:rFonts w:hint="default"/>
      </w:r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1643727700">
    <w:nsid w:val="61F94B54"/>
    <w:multiLevelType w:val="multilevel"/>
    <w:tmpl w:val="61F94B54"/>
    <w:lvl w:ilvl="0" w:tentative="1">
      <w:start w:val="1"/>
      <w:numFmt w:val="chineseCountingThousand"/>
      <w:lvlText w:val="%1、"/>
      <w:lvlJc w:val="left"/>
      <w:pPr>
        <w:tabs>
          <w:tab w:val="left" w:pos="420"/>
        </w:tabs>
        <w:ind w:left="420" w:hanging="420"/>
      </w:p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371295415">
    <w:nsid w:val="51BC4EB7"/>
    <w:multiLevelType w:val="multilevel"/>
    <w:tmpl w:val="51BC4EB7"/>
    <w:lvl w:ilvl="0" w:tentative="1">
      <w:start w:val="2"/>
      <w:numFmt w:val="decimal"/>
      <w:lvlText w:val="%1"/>
      <w:lvlJc w:val="left"/>
      <w:pPr>
        <w:ind w:left="360" w:hanging="360"/>
      </w:pPr>
      <w:rPr>
        <w:rFonts w:hint="default" w:eastAsia="宋体"/>
        <w:b/>
      </w:rPr>
    </w:lvl>
    <w:lvl w:ilvl="1" w:tentative="1">
      <w:start w:val="1"/>
      <w:numFmt w:val="decimal"/>
      <w:lvlText w:val="%1-%2"/>
      <w:lvlJc w:val="left"/>
      <w:pPr>
        <w:ind w:left="900" w:hanging="360"/>
      </w:pPr>
      <w:rPr>
        <w:rFonts w:hint="default" w:eastAsia="宋体"/>
        <w:b/>
      </w:rPr>
    </w:lvl>
    <w:lvl w:ilvl="2" w:tentative="1">
      <w:start w:val="1"/>
      <w:numFmt w:val="decimal"/>
      <w:lvlText w:val="%1-%2.%3"/>
      <w:lvlJc w:val="left"/>
      <w:pPr>
        <w:ind w:left="1800" w:hanging="720"/>
      </w:pPr>
      <w:rPr>
        <w:rFonts w:hint="default" w:eastAsia="宋体"/>
        <w:b/>
      </w:rPr>
    </w:lvl>
    <w:lvl w:ilvl="3" w:tentative="1">
      <w:start w:val="1"/>
      <w:numFmt w:val="decimal"/>
      <w:lvlText w:val="%1-%2.%3.%4"/>
      <w:lvlJc w:val="left"/>
      <w:pPr>
        <w:ind w:left="2700" w:hanging="1080"/>
      </w:pPr>
      <w:rPr>
        <w:rFonts w:hint="default" w:eastAsia="宋体"/>
        <w:b/>
      </w:rPr>
    </w:lvl>
    <w:lvl w:ilvl="4" w:tentative="1">
      <w:start w:val="1"/>
      <w:numFmt w:val="decimal"/>
      <w:lvlText w:val="%1-%2.%3.%4.%5"/>
      <w:lvlJc w:val="left"/>
      <w:pPr>
        <w:ind w:left="3240" w:hanging="1080"/>
      </w:pPr>
      <w:rPr>
        <w:rFonts w:hint="default" w:eastAsia="宋体"/>
        <w:b/>
      </w:rPr>
    </w:lvl>
    <w:lvl w:ilvl="5" w:tentative="1">
      <w:start w:val="1"/>
      <w:numFmt w:val="decimal"/>
      <w:lvlText w:val="%1-%2.%3.%4.%5.%6"/>
      <w:lvlJc w:val="left"/>
      <w:pPr>
        <w:ind w:left="4140" w:hanging="1440"/>
      </w:pPr>
      <w:rPr>
        <w:rFonts w:hint="default" w:eastAsia="宋体"/>
        <w:b/>
      </w:rPr>
    </w:lvl>
    <w:lvl w:ilvl="6" w:tentative="1">
      <w:start w:val="1"/>
      <w:numFmt w:val="decimal"/>
      <w:lvlText w:val="%1-%2.%3.%4.%5.%6.%7"/>
      <w:lvlJc w:val="left"/>
      <w:pPr>
        <w:ind w:left="4680" w:hanging="1440"/>
      </w:pPr>
      <w:rPr>
        <w:rFonts w:hint="default" w:eastAsia="宋体"/>
        <w:b/>
      </w:rPr>
    </w:lvl>
    <w:lvl w:ilvl="7" w:tentative="1">
      <w:start w:val="1"/>
      <w:numFmt w:val="decimal"/>
      <w:lvlText w:val="%1-%2.%3.%4.%5.%6.%7.%8"/>
      <w:lvlJc w:val="left"/>
      <w:pPr>
        <w:ind w:left="5580" w:hanging="1800"/>
      </w:pPr>
      <w:rPr>
        <w:rFonts w:hint="default" w:eastAsia="宋体"/>
        <w:b/>
      </w:rPr>
    </w:lvl>
    <w:lvl w:ilvl="8" w:tentative="1">
      <w:start w:val="1"/>
      <w:numFmt w:val="decimal"/>
      <w:lvlText w:val="%1-%2.%3.%4.%5.%6.%7.%8.%9"/>
      <w:lvlJc w:val="left"/>
      <w:pPr>
        <w:ind w:left="6120" w:hanging="1800"/>
      </w:pPr>
      <w:rPr>
        <w:rFonts w:hint="default" w:eastAsia="宋体"/>
        <w:b/>
      </w:rPr>
    </w:lvl>
  </w:abstractNum>
  <w:abstractNum w:abstractNumId="898595452">
    <w:nsid w:val="358F7A7C"/>
    <w:multiLevelType w:val="multilevel"/>
    <w:tmpl w:val="358F7A7C"/>
    <w:lvl w:ilvl="0" w:tentative="1">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9">
    <w:nsid w:val="00000031"/>
    <w:multiLevelType w:val="multilevel"/>
    <w:tmpl w:val="00000031"/>
    <w:lvl w:ilvl="0" w:tentative="1">
      <w:start w:val="1"/>
      <w:numFmt w:val="decimal"/>
      <w:lvlText w:val="%1)"/>
      <w:lvlJc w:val="left"/>
      <w:pPr>
        <w:tabs>
          <w:tab w:val="left" w:pos="420"/>
        </w:tabs>
        <w:ind w:left="420" w:hanging="420"/>
      </w:pPr>
      <w:rPr>
        <w:rFonts w:hint="eastAsia"/>
        <w:color w:val="auto"/>
      </w:rPr>
    </w:lvl>
    <w:lvl w:ilvl="1" w:tentative="1">
      <w:start w:val="1"/>
      <w:numFmt w:val="decimal"/>
      <w:lvlText w:val="%2、"/>
      <w:lvlJc w:val="left"/>
      <w:pPr>
        <w:tabs>
          <w:tab w:val="left" w:pos="510"/>
        </w:tabs>
        <w:ind w:left="510" w:hanging="510"/>
      </w:pPr>
      <w:rPr>
        <w:rFonts w:hint="default"/>
      </w:rPr>
    </w:lvl>
    <w:lvl w:ilvl="2" w:tentative="1">
      <w:start w:val="1"/>
      <w:numFmt w:val="decimal"/>
      <w:lvlText w:val="%3)"/>
      <w:lvlJc w:val="left"/>
      <w:pPr>
        <w:tabs>
          <w:tab w:val="left" w:pos="840"/>
        </w:tabs>
        <w:ind w:left="840" w:hanging="420"/>
      </w:pPr>
      <w:rPr>
        <w:rFonts w:hint="eastAsia"/>
        <w:color w:val="auto"/>
      </w:rPr>
    </w:lvl>
    <w:lvl w:ilvl="3" w:tentative="1">
      <w:start w:val="1"/>
      <w:numFmt w:val="decimal"/>
      <w:lvlText w:val="%4."/>
      <w:lvlJc w:val="left"/>
      <w:pPr>
        <w:tabs>
          <w:tab w:val="left" w:pos="1260"/>
        </w:tabs>
        <w:ind w:left="1260" w:hanging="420"/>
      </w:pPr>
    </w:lvl>
    <w:lvl w:ilvl="4" w:tentative="1">
      <w:start w:val="1"/>
      <w:numFmt w:val="lowerLetter"/>
      <w:lvlText w:val="%5)"/>
      <w:lvlJc w:val="left"/>
      <w:pPr>
        <w:tabs>
          <w:tab w:val="left" w:pos="1680"/>
        </w:tabs>
        <w:ind w:left="1680" w:hanging="420"/>
      </w:pPr>
    </w:lvl>
    <w:lvl w:ilvl="5" w:tentative="1">
      <w:start w:val="1"/>
      <w:numFmt w:val="lowerRoman"/>
      <w:lvlText w:val="%6."/>
      <w:lvlJc w:val="right"/>
      <w:pPr>
        <w:tabs>
          <w:tab w:val="left" w:pos="2100"/>
        </w:tabs>
        <w:ind w:left="2100" w:hanging="420"/>
      </w:pPr>
    </w:lvl>
    <w:lvl w:ilvl="6" w:tentative="1">
      <w:start w:val="1"/>
      <w:numFmt w:val="decimal"/>
      <w:lvlText w:val="%7."/>
      <w:lvlJc w:val="left"/>
      <w:pPr>
        <w:tabs>
          <w:tab w:val="left" w:pos="2520"/>
        </w:tabs>
        <w:ind w:left="2520" w:hanging="420"/>
      </w:pPr>
    </w:lvl>
    <w:lvl w:ilvl="7" w:tentative="1">
      <w:start w:val="1"/>
      <w:numFmt w:val="lowerLetter"/>
      <w:lvlText w:val="%8)"/>
      <w:lvlJc w:val="left"/>
      <w:pPr>
        <w:tabs>
          <w:tab w:val="left" w:pos="2940"/>
        </w:tabs>
        <w:ind w:left="2940" w:hanging="420"/>
      </w:pPr>
    </w:lvl>
    <w:lvl w:ilvl="8" w:tentative="1">
      <w:start w:val="1"/>
      <w:numFmt w:val="lowerRoman"/>
      <w:lvlText w:val="%9."/>
      <w:lvlJc w:val="right"/>
      <w:pPr>
        <w:tabs>
          <w:tab w:val="left" w:pos="3360"/>
        </w:tabs>
        <w:ind w:left="3360" w:hanging="420"/>
      </w:pPr>
    </w:lvl>
  </w:abstractNum>
  <w:abstractNum w:abstractNumId="1110783306">
    <w:nsid w:val="4235354A"/>
    <w:multiLevelType w:val="multilevel"/>
    <w:tmpl w:val="4235354A"/>
    <w:lvl w:ilvl="0" w:tentative="1">
      <w:start w:val="3"/>
      <w:numFmt w:val="decimal"/>
      <w:lvlText w:val="%1"/>
      <w:lvlJc w:val="left"/>
      <w:pPr>
        <w:ind w:left="360" w:hanging="360"/>
      </w:pPr>
      <w:rPr>
        <w:rFonts w:hint="default" w:cs="Times New Roman"/>
        <w:sz w:val="21"/>
      </w:rPr>
    </w:lvl>
    <w:lvl w:ilvl="1" w:tentative="1">
      <w:start w:val="1"/>
      <w:numFmt w:val="decimal"/>
      <w:lvlText w:val="%1-%2"/>
      <w:lvlJc w:val="left"/>
      <w:pPr>
        <w:ind w:left="720" w:hanging="720"/>
      </w:pPr>
      <w:rPr>
        <w:rFonts w:hint="default" w:cs="Times New Roman"/>
        <w:sz w:val="21"/>
      </w:rPr>
    </w:lvl>
    <w:lvl w:ilvl="2" w:tentative="1">
      <w:start w:val="1"/>
      <w:numFmt w:val="decimal"/>
      <w:lvlText w:val="%1-%2.%3"/>
      <w:lvlJc w:val="left"/>
      <w:pPr>
        <w:ind w:left="720" w:hanging="720"/>
      </w:pPr>
      <w:rPr>
        <w:rFonts w:hint="default" w:cs="Times New Roman"/>
        <w:sz w:val="21"/>
      </w:rPr>
    </w:lvl>
    <w:lvl w:ilvl="3" w:tentative="1">
      <w:start w:val="1"/>
      <w:numFmt w:val="decimal"/>
      <w:lvlText w:val="%1-%2.%3.%4"/>
      <w:lvlJc w:val="left"/>
      <w:pPr>
        <w:ind w:left="1080" w:hanging="1080"/>
      </w:pPr>
      <w:rPr>
        <w:rFonts w:hint="default" w:cs="Times New Roman"/>
        <w:sz w:val="21"/>
      </w:rPr>
    </w:lvl>
    <w:lvl w:ilvl="4" w:tentative="1">
      <w:start w:val="1"/>
      <w:numFmt w:val="decimal"/>
      <w:lvlText w:val="%1-%2.%3.%4.%5"/>
      <w:lvlJc w:val="left"/>
      <w:pPr>
        <w:ind w:left="1440" w:hanging="1440"/>
      </w:pPr>
      <w:rPr>
        <w:rFonts w:hint="default" w:cs="Times New Roman"/>
        <w:sz w:val="21"/>
      </w:rPr>
    </w:lvl>
    <w:lvl w:ilvl="5" w:tentative="1">
      <w:start w:val="1"/>
      <w:numFmt w:val="decimal"/>
      <w:lvlText w:val="%1-%2.%3.%4.%5.%6"/>
      <w:lvlJc w:val="left"/>
      <w:pPr>
        <w:ind w:left="1800" w:hanging="1800"/>
      </w:pPr>
      <w:rPr>
        <w:rFonts w:hint="default" w:cs="Times New Roman"/>
        <w:sz w:val="21"/>
      </w:rPr>
    </w:lvl>
    <w:lvl w:ilvl="6" w:tentative="1">
      <w:start w:val="1"/>
      <w:numFmt w:val="decimal"/>
      <w:lvlText w:val="%1-%2.%3.%4.%5.%6.%7"/>
      <w:lvlJc w:val="left"/>
      <w:pPr>
        <w:ind w:left="2160" w:hanging="2160"/>
      </w:pPr>
      <w:rPr>
        <w:rFonts w:hint="default" w:cs="Times New Roman"/>
        <w:sz w:val="21"/>
      </w:rPr>
    </w:lvl>
    <w:lvl w:ilvl="7" w:tentative="1">
      <w:start w:val="1"/>
      <w:numFmt w:val="decimal"/>
      <w:lvlText w:val="%1-%2.%3.%4.%5.%6.%7.%8"/>
      <w:lvlJc w:val="left"/>
      <w:pPr>
        <w:ind w:left="2160" w:hanging="2160"/>
      </w:pPr>
      <w:rPr>
        <w:rFonts w:hint="default" w:cs="Times New Roman"/>
        <w:sz w:val="21"/>
      </w:rPr>
    </w:lvl>
    <w:lvl w:ilvl="8" w:tentative="1">
      <w:start w:val="1"/>
      <w:numFmt w:val="decimal"/>
      <w:lvlText w:val="%1-%2.%3.%4.%5.%6.%7.%8.%9"/>
      <w:lvlJc w:val="left"/>
      <w:pPr>
        <w:ind w:left="2520" w:hanging="2520"/>
      </w:pPr>
      <w:rPr>
        <w:rFonts w:hint="default" w:cs="Times New Roman"/>
        <w:sz w:val="21"/>
      </w:rPr>
    </w:lvl>
  </w:abstractNum>
  <w:abstractNum w:abstractNumId="1845898230">
    <w:nsid w:val="6E062BF6"/>
    <w:multiLevelType w:val="multilevel"/>
    <w:tmpl w:val="6E062BF6"/>
    <w:lvl w:ilvl="0" w:tentative="1">
      <w:start w:val="1"/>
      <w:numFmt w:val="decimal"/>
      <w:lvlText w:val="%1"/>
      <w:lvlJc w:val="left"/>
      <w:pPr>
        <w:ind w:left="420" w:hanging="420"/>
      </w:pPr>
      <w:rPr>
        <w:rFonts w:hint="eastAsia"/>
        <w:b/>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45826941">
    <w:nsid w:val="6E05157D"/>
    <w:multiLevelType w:val="multilevel"/>
    <w:tmpl w:val="6E05157D"/>
    <w:lvl w:ilvl="0" w:tentative="1">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473338661"/>
  </w:num>
  <w:num w:numId="2">
    <w:abstractNumId w:val="1587435468"/>
    <w:lvlOverride w:ilvl="1">
      <w:startOverride w:val="1"/>
    </w:lvlOverride>
  </w:num>
  <w:num w:numId="3">
    <w:abstractNumId w:val="1587435479"/>
    <w:lvlOverride w:ilvl="0">
      <w:startOverride w:val="8"/>
    </w:lvlOverride>
  </w:num>
  <w:num w:numId="4">
    <w:abstractNumId w:val="1074548749"/>
  </w:num>
  <w:num w:numId="5">
    <w:abstractNumId w:val="1501573798"/>
  </w:num>
  <w:num w:numId="6">
    <w:abstractNumId w:val="58289440"/>
  </w:num>
  <w:num w:numId="7">
    <w:abstractNumId w:val="16"/>
  </w:num>
  <w:num w:numId="8">
    <w:abstractNumId w:val="433864556"/>
  </w:num>
  <w:num w:numId="9">
    <w:abstractNumId w:val="1047220505"/>
  </w:num>
  <w:num w:numId="10">
    <w:abstractNumId w:val="864555780"/>
  </w:num>
  <w:num w:numId="11">
    <w:abstractNumId w:val="967858088"/>
  </w:num>
  <w:num w:numId="12">
    <w:abstractNumId w:val="2036030624"/>
  </w:num>
  <w:num w:numId="13">
    <w:abstractNumId w:val="1651907870"/>
  </w:num>
  <w:num w:numId="14">
    <w:abstractNumId w:val="1485657350"/>
  </w:num>
  <w:num w:numId="15">
    <w:abstractNumId w:val="1854756004"/>
  </w:num>
  <w:num w:numId="16">
    <w:abstractNumId w:val="1587435490"/>
    <w:lvlOverride w:ilvl="0">
      <w:startOverride w:val="1"/>
    </w:lvlOverride>
  </w:num>
  <w:num w:numId="17">
    <w:abstractNumId w:val="1538927124"/>
  </w:num>
  <w:num w:numId="18">
    <w:abstractNumId w:val="1486543531"/>
  </w:num>
  <w:num w:numId="19">
    <w:abstractNumId w:val="1587435501"/>
    <w:lvlOverride w:ilvl="0">
      <w:startOverride w:val="4"/>
    </w:lvlOverride>
  </w:num>
  <w:num w:numId="20">
    <w:abstractNumId w:val="1587435512"/>
    <w:lvlOverride w:ilvl="0">
      <w:startOverride w:val="9"/>
    </w:lvlOverride>
  </w:num>
  <w:num w:numId="21">
    <w:abstractNumId w:val="1587435523"/>
    <w:lvlOverride w:ilvl="0">
      <w:startOverride w:val="12"/>
    </w:lvlOverride>
  </w:num>
  <w:num w:numId="22">
    <w:abstractNumId w:val="2033219400"/>
  </w:num>
  <w:num w:numId="23">
    <w:abstractNumId w:val="1183787674"/>
  </w:num>
  <w:num w:numId="24">
    <w:abstractNumId w:val="1091664304"/>
  </w:num>
  <w:num w:numId="25">
    <w:abstractNumId w:val="50"/>
  </w:num>
  <w:num w:numId="26">
    <w:abstractNumId w:val="1326475001"/>
  </w:num>
  <w:num w:numId="27">
    <w:abstractNumId w:val="1477624486"/>
  </w:num>
  <w:num w:numId="28">
    <w:abstractNumId w:val="1587435534"/>
    <w:lvlOverride w:ilvl="0">
      <w:startOverride w:val="1"/>
    </w:lvlOverride>
  </w:num>
  <w:num w:numId="29">
    <w:abstractNumId w:val="1587435545"/>
    <w:lvlOverride w:ilvl="0">
      <w:startOverride w:val="1"/>
    </w:lvlOverride>
  </w:num>
  <w:num w:numId="30">
    <w:abstractNumId w:val="1546790024"/>
  </w:num>
  <w:num w:numId="31">
    <w:abstractNumId w:val="1845898230"/>
  </w:num>
  <w:num w:numId="32">
    <w:abstractNumId w:val="898595452"/>
  </w:num>
  <w:num w:numId="33">
    <w:abstractNumId w:val="1371295415"/>
  </w:num>
  <w:num w:numId="34">
    <w:abstractNumId w:val="49"/>
  </w:num>
  <w:num w:numId="35">
    <w:abstractNumId w:val="1110783306"/>
  </w:num>
  <w:num w:numId="36">
    <w:abstractNumId w:val="1845826941"/>
  </w:num>
  <w:num w:numId="37">
    <w:abstractNumId w:val="16437277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7D7"/>
    <w:rsid w:val="0002263E"/>
    <w:rsid w:val="00030ECA"/>
    <w:rsid w:val="00032D4E"/>
    <w:rsid w:val="00034B0D"/>
    <w:rsid w:val="00042331"/>
    <w:rsid w:val="0004634A"/>
    <w:rsid w:val="000537D7"/>
    <w:rsid w:val="00054ED3"/>
    <w:rsid w:val="000631D6"/>
    <w:rsid w:val="00076F7D"/>
    <w:rsid w:val="00093DF0"/>
    <w:rsid w:val="00097CA0"/>
    <w:rsid w:val="000A4F83"/>
    <w:rsid w:val="000A7497"/>
    <w:rsid w:val="000C77E7"/>
    <w:rsid w:val="000E55CB"/>
    <w:rsid w:val="00103F35"/>
    <w:rsid w:val="00106B57"/>
    <w:rsid w:val="0011482B"/>
    <w:rsid w:val="00127299"/>
    <w:rsid w:val="00131ED4"/>
    <w:rsid w:val="00151C64"/>
    <w:rsid w:val="0016344C"/>
    <w:rsid w:val="00172A27"/>
    <w:rsid w:val="0019173C"/>
    <w:rsid w:val="00196CFE"/>
    <w:rsid w:val="001A2642"/>
    <w:rsid w:val="001D436B"/>
    <w:rsid w:val="001E058C"/>
    <w:rsid w:val="001E306B"/>
    <w:rsid w:val="001F17BA"/>
    <w:rsid w:val="001F1BC8"/>
    <w:rsid w:val="001F4584"/>
    <w:rsid w:val="002022A3"/>
    <w:rsid w:val="002126FF"/>
    <w:rsid w:val="00213625"/>
    <w:rsid w:val="0021467C"/>
    <w:rsid w:val="002224B8"/>
    <w:rsid w:val="00242058"/>
    <w:rsid w:val="00252765"/>
    <w:rsid w:val="00255FCD"/>
    <w:rsid w:val="00262DE8"/>
    <w:rsid w:val="00267570"/>
    <w:rsid w:val="00290153"/>
    <w:rsid w:val="002A34F2"/>
    <w:rsid w:val="002B15A2"/>
    <w:rsid w:val="002B2135"/>
    <w:rsid w:val="002B3710"/>
    <w:rsid w:val="002C4D5B"/>
    <w:rsid w:val="002E0150"/>
    <w:rsid w:val="002E1141"/>
    <w:rsid w:val="002F53FB"/>
    <w:rsid w:val="002F68EC"/>
    <w:rsid w:val="00300806"/>
    <w:rsid w:val="00310AA4"/>
    <w:rsid w:val="00313CDF"/>
    <w:rsid w:val="00321730"/>
    <w:rsid w:val="00331ACF"/>
    <w:rsid w:val="0033234D"/>
    <w:rsid w:val="00335EFD"/>
    <w:rsid w:val="00345C7E"/>
    <w:rsid w:val="0035141F"/>
    <w:rsid w:val="003567B6"/>
    <w:rsid w:val="00373701"/>
    <w:rsid w:val="00386A84"/>
    <w:rsid w:val="003A5BE0"/>
    <w:rsid w:val="003C13FC"/>
    <w:rsid w:val="003C2A78"/>
    <w:rsid w:val="003E5A4E"/>
    <w:rsid w:val="003F505C"/>
    <w:rsid w:val="0040344B"/>
    <w:rsid w:val="00417B1B"/>
    <w:rsid w:val="0042121A"/>
    <w:rsid w:val="00433548"/>
    <w:rsid w:val="00441B40"/>
    <w:rsid w:val="00444A3B"/>
    <w:rsid w:val="004520F3"/>
    <w:rsid w:val="00452320"/>
    <w:rsid w:val="004531B6"/>
    <w:rsid w:val="00470391"/>
    <w:rsid w:val="00483D10"/>
    <w:rsid w:val="0048420A"/>
    <w:rsid w:val="004845CE"/>
    <w:rsid w:val="004921AB"/>
    <w:rsid w:val="004B2327"/>
    <w:rsid w:val="004E2E04"/>
    <w:rsid w:val="004E7FE6"/>
    <w:rsid w:val="004F24CF"/>
    <w:rsid w:val="004F4E73"/>
    <w:rsid w:val="00516BE6"/>
    <w:rsid w:val="0052188C"/>
    <w:rsid w:val="00525B86"/>
    <w:rsid w:val="00533A69"/>
    <w:rsid w:val="00545F63"/>
    <w:rsid w:val="00554862"/>
    <w:rsid w:val="00590DF9"/>
    <w:rsid w:val="00591A38"/>
    <w:rsid w:val="0059752C"/>
    <w:rsid w:val="005B4971"/>
    <w:rsid w:val="005B7AF6"/>
    <w:rsid w:val="005D02E5"/>
    <w:rsid w:val="005D4590"/>
    <w:rsid w:val="005E0C74"/>
    <w:rsid w:val="005E1B5B"/>
    <w:rsid w:val="005E3005"/>
    <w:rsid w:val="005E58C1"/>
    <w:rsid w:val="005F07F0"/>
    <w:rsid w:val="00607B8E"/>
    <w:rsid w:val="006229C3"/>
    <w:rsid w:val="006354E2"/>
    <w:rsid w:val="0065276C"/>
    <w:rsid w:val="006551B5"/>
    <w:rsid w:val="00656A75"/>
    <w:rsid w:val="00662AA0"/>
    <w:rsid w:val="006A51E8"/>
    <w:rsid w:val="006C41B5"/>
    <w:rsid w:val="006D5641"/>
    <w:rsid w:val="006E040C"/>
    <w:rsid w:val="00735D60"/>
    <w:rsid w:val="007642A6"/>
    <w:rsid w:val="007812DF"/>
    <w:rsid w:val="00782BAA"/>
    <w:rsid w:val="00790C1B"/>
    <w:rsid w:val="007B5C6A"/>
    <w:rsid w:val="007B6849"/>
    <w:rsid w:val="007C3203"/>
    <w:rsid w:val="007D4949"/>
    <w:rsid w:val="007D7852"/>
    <w:rsid w:val="007E6FA5"/>
    <w:rsid w:val="007F0E2F"/>
    <w:rsid w:val="007F370B"/>
    <w:rsid w:val="00812185"/>
    <w:rsid w:val="00841351"/>
    <w:rsid w:val="0085020C"/>
    <w:rsid w:val="00864441"/>
    <w:rsid w:val="00884762"/>
    <w:rsid w:val="008927DD"/>
    <w:rsid w:val="008A26C9"/>
    <w:rsid w:val="008A2818"/>
    <w:rsid w:val="008A6780"/>
    <w:rsid w:val="008D01E0"/>
    <w:rsid w:val="008D78B6"/>
    <w:rsid w:val="008E422A"/>
    <w:rsid w:val="00902061"/>
    <w:rsid w:val="00947E8C"/>
    <w:rsid w:val="00950037"/>
    <w:rsid w:val="009554D2"/>
    <w:rsid w:val="0096089A"/>
    <w:rsid w:val="00960FB0"/>
    <w:rsid w:val="0097058D"/>
    <w:rsid w:val="00985B2D"/>
    <w:rsid w:val="00986355"/>
    <w:rsid w:val="00987F3D"/>
    <w:rsid w:val="009934C9"/>
    <w:rsid w:val="009B6B60"/>
    <w:rsid w:val="009D01EC"/>
    <w:rsid w:val="00A14445"/>
    <w:rsid w:val="00A309C4"/>
    <w:rsid w:val="00A47742"/>
    <w:rsid w:val="00A55CB7"/>
    <w:rsid w:val="00A55F21"/>
    <w:rsid w:val="00A56DA8"/>
    <w:rsid w:val="00A56E1B"/>
    <w:rsid w:val="00A6239E"/>
    <w:rsid w:val="00A7508F"/>
    <w:rsid w:val="00A93E62"/>
    <w:rsid w:val="00A94E4B"/>
    <w:rsid w:val="00AA5458"/>
    <w:rsid w:val="00AB4206"/>
    <w:rsid w:val="00AB6102"/>
    <w:rsid w:val="00AB697B"/>
    <w:rsid w:val="00AC4645"/>
    <w:rsid w:val="00AD1FDD"/>
    <w:rsid w:val="00AE7D09"/>
    <w:rsid w:val="00B30566"/>
    <w:rsid w:val="00B539A8"/>
    <w:rsid w:val="00B54652"/>
    <w:rsid w:val="00B572DB"/>
    <w:rsid w:val="00B65C72"/>
    <w:rsid w:val="00B7250F"/>
    <w:rsid w:val="00B80A3D"/>
    <w:rsid w:val="00B80CD0"/>
    <w:rsid w:val="00B857E4"/>
    <w:rsid w:val="00B90806"/>
    <w:rsid w:val="00BA1D43"/>
    <w:rsid w:val="00BA3C9E"/>
    <w:rsid w:val="00BB502B"/>
    <w:rsid w:val="00BC2883"/>
    <w:rsid w:val="00BC75AD"/>
    <w:rsid w:val="00C24F8F"/>
    <w:rsid w:val="00C3129F"/>
    <w:rsid w:val="00C3593D"/>
    <w:rsid w:val="00C42A7C"/>
    <w:rsid w:val="00C42D91"/>
    <w:rsid w:val="00C430D6"/>
    <w:rsid w:val="00C43EB5"/>
    <w:rsid w:val="00C5597B"/>
    <w:rsid w:val="00C6124C"/>
    <w:rsid w:val="00C64D9F"/>
    <w:rsid w:val="00C71BE1"/>
    <w:rsid w:val="00C77C74"/>
    <w:rsid w:val="00C870A2"/>
    <w:rsid w:val="00CA2D3D"/>
    <w:rsid w:val="00CA3F43"/>
    <w:rsid w:val="00CA6B05"/>
    <w:rsid w:val="00CD6032"/>
    <w:rsid w:val="00CE3D17"/>
    <w:rsid w:val="00CE68FD"/>
    <w:rsid w:val="00D00E24"/>
    <w:rsid w:val="00D10364"/>
    <w:rsid w:val="00D17E64"/>
    <w:rsid w:val="00D24410"/>
    <w:rsid w:val="00D33494"/>
    <w:rsid w:val="00D51E8D"/>
    <w:rsid w:val="00D52605"/>
    <w:rsid w:val="00D5559E"/>
    <w:rsid w:val="00D576D1"/>
    <w:rsid w:val="00D8014C"/>
    <w:rsid w:val="00D8352F"/>
    <w:rsid w:val="00D97583"/>
    <w:rsid w:val="00DA2E76"/>
    <w:rsid w:val="00DA5F01"/>
    <w:rsid w:val="00DC52B8"/>
    <w:rsid w:val="00DE367B"/>
    <w:rsid w:val="00DF403B"/>
    <w:rsid w:val="00E27568"/>
    <w:rsid w:val="00E4530B"/>
    <w:rsid w:val="00E53F10"/>
    <w:rsid w:val="00E67992"/>
    <w:rsid w:val="00E707E9"/>
    <w:rsid w:val="00EA1AAB"/>
    <w:rsid w:val="00EA5012"/>
    <w:rsid w:val="00EA52DE"/>
    <w:rsid w:val="00EC0578"/>
    <w:rsid w:val="00EC27CC"/>
    <w:rsid w:val="00ED09CA"/>
    <w:rsid w:val="00ED725D"/>
    <w:rsid w:val="00ED7CF4"/>
    <w:rsid w:val="00EE47C4"/>
    <w:rsid w:val="00EE7526"/>
    <w:rsid w:val="00F02D1F"/>
    <w:rsid w:val="00F031E7"/>
    <w:rsid w:val="00F15EE9"/>
    <w:rsid w:val="00F21203"/>
    <w:rsid w:val="00F25123"/>
    <w:rsid w:val="00F5135F"/>
    <w:rsid w:val="00F54D69"/>
    <w:rsid w:val="00F56A3D"/>
    <w:rsid w:val="00F6151C"/>
    <w:rsid w:val="00F72BB0"/>
    <w:rsid w:val="00F81382"/>
    <w:rsid w:val="00FB2DEE"/>
    <w:rsid w:val="00FE2849"/>
    <w:rsid w:val="01023895"/>
    <w:rsid w:val="010F2AF3"/>
    <w:rsid w:val="0116520E"/>
    <w:rsid w:val="01177817"/>
    <w:rsid w:val="011A71F3"/>
    <w:rsid w:val="013C22F9"/>
    <w:rsid w:val="014302D7"/>
    <w:rsid w:val="014715BF"/>
    <w:rsid w:val="01641CC1"/>
    <w:rsid w:val="01675B24"/>
    <w:rsid w:val="017A124C"/>
    <w:rsid w:val="01804174"/>
    <w:rsid w:val="0184666B"/>
    <w:rsid w:val="01851240"/>
    <w:rsid w:val="018C10AF"/>
    <w:rsid w:val="019666FF"/>
    <w:rsid w:val="019B4AC8"/>
    <w:rsid w:val="01B31153"/>
    <w:rsid w:val="01BB7C80"/>
    <w:rsid w:val="01C5512B"/>
    <w:rsid w:val="01C86ADB"/>
    <w:rsid w:val="01D735D4"/>
    <w:rsid w:val="01DD0D64"/>
    <w:rsid w:val="01DE589A"/>
    <w:rsid w:val="01E20A34"/>
    <w:rsid w:val="01F05F41"/>
    <w:rsid w:val="01F2002A"/>
    <w:rsid w:val="01F37382"/>
    <w:rsid w:val="02056CCC"/>
    <w:rsid w:val="020C2F47"/>
    <w:rsid w:val="021E6D11"/>
    <w:rsid w:val="02272C00"/>
    <w:rsid w:val="02314FAE"/>
    <w:rsid w:val="024147F2"/>
    <w:rsid w:val="02576B60"/>
    <w:rsid w:val="025A7C29"/>
    <w:rsid w:val="025C182D"/>
    <w:rsid w:val="025E0F66"/>
    <w:rsid w:val="0263397F"/>
    <w:rsid w:val="02690CF6"/>
    <w:rsid w:val="0273130D"/>
    <w:rsid w:val="02796BFD"/>
    <w:rsid w:val="027A0B68"/>
    <w:rsid w:val="02853AB3"/>
    <w:rsid w:val="028F7CAD"/>
    <w:rsid w:val="02981AB5"/>
    <w:rsid w:val="029A2D04"/>
    <w:rsid w:val="02A31ECE"/>
    <w:rsid w:val="02A51293"/>
    <w:rsid w:val="02CD211D"/>
    <w:rsid w:val="02D36D7A"/>
    <w:rsid w:val="02D61D88"/>
    <w:rsid w:val="02D724B6"/>
    <w:rsid w:val="02EC1BE5"/>
    <w:rsid w:val="02F534FC"/>
    <w:rsid w:val="0305293F"/>
    <w:rsid w:val="030F6D9A"/>
    <w:rsid w:val="0317004C"/>
    <w:rsid w:val="031E3DF7"/>
    <w:rsid w:val="031F4215"/>
    <w:rsid w:val="03297445"/>
    <w:rsid w:val="032E49CF"/>
    <w:rsid w:val="03356E55"/>
    <w:rsid w:val="033707E9"/>
    <w:rsid w:val="033E1706"/>
    <w:rsid w:val="033E7256"/>
    <w:rsid w:val="03470AC9"/>
    <w:rsid w:val="0347538C"/>
    <w:rsid w:val="036F3654"/>
    <w:rsid w:val="0382120A"/>
    <w:rsid w:val="03914EA2"/>
    <w:rsid w:val="039D1B84"/>
    <w:rsid w:val="03A12F3C"/>
    <w:rsid w:val="03A478C1"/>
    <w:rsid w:val="03A56D5C"/>
    <w:rsid w:val="03D210BF"/>
    <w:rsid w:val="03DD23B7"/>
    <w:rsid w:val="03E82C02"/>
    <w:rsid w:val="03F338BF"/>
    <w:rsid w:val="03F35DD5"/>
    <w:rsid w:val="03FC0772"/>
    <w:rsid w:val="03FE01CA"/>
    <w:rsid w:val="040703E3"/>
    <w:rsid w:val="041B2590"/>
    <w:rsid w:val="042157D2"/>
    <w:rsid w:val="04295E28"/>
    <w:rsid w:val="04373136"/>
    <w:rsid w:val="045033F7"/>
    <w:rsid w:val="0455788A"/>
    <w:rsid w:val="04615806"/>
    <w:rsid w:val="04651799"/>
    <w:rsid w:val="04714AB1"/>
    <w:rsid w:val="047E7C2A"/>
    <w:rsid w:val="04845A82"/>
    <w:rsid w:val="049322CD"/>
    <w:rsid w:val="04A904D9"/>
    <w:rsid w:val="04AD01CC"/>
    <w:rsid w:val="04B247CA"/>
    <w:rsid w:val="04BA0F27"/>
    <w:rsid w:val="04BC2137"/>
    <w:rsid w:val="04C318B6"/>
    <w:rsid w:val="04CA53E9"/>
    <w:rsid w:val="04D03207"/>
    <w:rsid w:val="04D1082A"/>
    <w:rsid w:val="04D8268B"/>
    <w:rsid w:val="04D83D2E"/>
    <w:rsid w:val="04E773EF"/>
    <w:rsid w:val="05020D4A"/>
    <w:rsid w:val="05157AAD"/>
    <w:rsid w:val="0549013F"/>
    <w:rsid w:val="054F0C98"/>
    <w:rsid w:val="055D76AD"/>
    <w:rsid w:val="05633CA5"/>
    <w:rsid w:val="056F74C7"/>
    <w:rsid w:val="05760C1A"/>
    <w:rsid w:val="057C2ADE"/>
    <w:rsid w:val="057D245A"/>
    <w:rsid w:val="057F0A00"/>
    <w:rsid w:val="0580686A"/>
    <w:rsid w:val="05880733"/>
    <w:rsid w:val="058A0758"/>
    <w:rsid w:val="059B1EF3"/>
    <w:rsid w:val="05A5325E"/>
    <w:rsid w:val="05CC737E"/>
    <w:rsid w:val="05DA561A"/>
    <w:rsid w:val="05EF51BD"/>
    <w:rsid w:val="05F74365"/>
    <w:rsid w:val="05FB6B9B"/>
    <w:rsid w:val="060B0D0F"/>
    <w:rsid w:val="06122581"/>
    <w:rsid w:val="061615FF"/>
    <w:rsid w:val="061F1F40"/>
    <w:rsid w:val="062474E7"/>
    <w:rsid w:val="063C2033"/>
    <w:rsid w:val="06604A48"/>
    <w:rsid w:val="06655D62"/>
    <w:rsid w:val="06664CBF"/>
    <w:rsid w:val="0677316C"/>
    <w:rsid w:val="067B5708"/>
    <w:rsid w:val="067B5D9C"/>
    <w:rsid w:val="06985303"/>
    <w:rsid w:val="06A41ADC"/>
    <w:rsid w:val="06B809DA"/>
    <w:rsid w:val="06B92FB9"/>
    <w:rsid w:val="06BA1BB3"/>
    <w:rsid w:val="06D261BF"/>
    <w:rsid w:val="06E758B4"/>
    <w:rsid w:val="06EF3B58"/>
    <w:rsid w:val="06FA28C4"/>
    <w:rsid w:val="06FE01AD"/>
    <w:rsid w:val="07025428"/>
    <w:rsid w:val="070321E9"/>
    <w:rsid w:val="071E53A9"/>
    <w:rsid w:val="071F76DD"/>
    <w:rsid w:val="072266D4"/>
    <w:rsid w:val="07257311"/>
    <w:rsid w:val="072C7E06"/>
    <w:rsid w:val="07412699"/>
    <w:rsid w:val="07495634"/>
    <w:rsid w:val="07540C9C"/>
    <w:rsid w:val="07575945"/>
    <w:rsid w:val="07581A28"/>
    <w:rsid w:val="07697825"/>
    <w:rsid w:val="076C764A"/>
    <w:rsid w:val="078F4BC7"/>
    <w:rsid w:val="07A25030"/>
    <w:rsid w:val="07A27FDC"/>
    <w:rsid w:val="07B10399"/>
    <w:rsid w:val="07BA5E37"/>
    <w:rsid w:val="07D57134"/>
    <w:rsid w:val="080178C7"/>
    <w:rsid w:val="080A240E"/>
    <w:rsid w:val="0818339A"/>
    <w:rsid w:val="08204B2D"/>
    <w:rsid w:val="082B3C84"/>
    <w:rsid w:val="08377758"/>
    <w:rsid w:val="083A2198"/>
    <w:rsid w:val="08435483"/>
    <w:rsid w:val="08517929"/>
    <w:rsid w:val="08520D79"/>
    <w:rsid w:val="085570A2"/>
    <w:rsid w:val="08574453"/>
    <w:rsid w:val="08626D04"/>
    <w:rsid w:val="086E08F8"/>
    <w:rsid w:val="08721346"/>
    <w:rsid w:val="08753FB5"/>
    <w:rsid w:val="087949D5"/>
    <w:rsid w:val="088662CF"/>
    <w:rsid w:val="08874B61"/>
    <w:rsid w:val="088D56AA"/>
    <w:rsid w:val="08913276"/>
    <w:rsid w:val="089A0F8A"/>
    <w:rsid w:val="089B3B35"/>
    <w:rsid w:val="08AC57B4"/>
    <w:rsid w:val="08B02449"/>
    <w:rsid w:val="08B802BB"/>
    <w:rsid w:val="08B924E9"/>
    <w:rsid w:val="08BA7587"/>
    <w:rsid w:val="08BF476D"/>
    <w:rsid w:val="08D5293B"/>
    <w:rsid w:val="08D732F2"/>
    <w:rsid w:val="08D80D08"/>
    <w:rsid w:val="08E97DF9"/>
    <w:rsid w:val="08EB2A50"/>
    <w:rsid w:val="08FB0C4A"/>
    <w:rsid w:val="09042796"/>
    <w:rsid w:val="090C1BB0"/>
    <w:rsid w:val="090D1272"/>
    <w:rsid w:val="09247BBC"/>
    <w:rsid w:val="09330EAC"/>
    <w:rsid w:val="093E20D4"/>
    <w:rsid w:val="09477F4A"/>
    <w:rsid w:val="094A669D"/>
    <w:rsid w:val="094F25AE"/>
    <w:rsid w:val="09532A77"/>
    <w:rsid w:val="09643ECE"/>
    <w:rsid w:val="09666313"/>
    <w:rsid w:val="096B59C9"/>
    <w:rsid w:val="0975430B"/>
    <w:rsid w:val="097644C1"/>
    <w:rsid w:val="09777870"/>
    <w:rsid w:val="097E3828"/>
    <w:rsid w:val="0982768D"/>
    <w:rsid w:val="09863715"/>
    <w:rsid w:val="09A04D8E"/>
    <w:rsid w:val="09C1640D"/>
    <w:rsid w:val="09C57463"/>
    <w:rsid w:val="09D3306B"/>
    <w:rsid w:val="09E101EB"/>
    <w:rsid w:val="0A0550AF"/>
    <w:rsid w:val="0A0A6C4E"/>
    <w:rsid w:val="0A1615CE"/>
    <w:rsid w:val="0A1676F4"/>
    <w:rsid w:val="0A24328D"/>
    <w:rsid w:val="0A335F13"/>
    <w:rsid w:val="0A3A05B1"/>
    <w:rsid w:val="0A431B3D"/>
    <w:rsid w:val="0A481DB5"/>
    <w:rsid w:val="0A61025A"/>
    <w:rsid w:val="0A6D73CE"/>
    <w:rsid w:val="0A6E6674"/>
    <w:rsid w:val="0A8435FC"/>
    <w:rsid w:val="0A890CF3"/>
    <w:rsid w:val="0AC33194"/>
    <w:rsid w:val="0ACD3526"/>
    <w:rsid w:val="0AEC659F"/>
    <w:rsid w:val="0AF014F9"/>
    <w:rsid w:val="0B0E6FE8"/>
    <w:rsid w:val="0B225962"/>
    <w:rsid w:val="0B30143F"/>
    <w:rsid w:val="0B364961"/>
    <w:rsid w:val="0B364AA3"/>
    <w:rsid w:val="0B4E0288"/>
    <w:rsid w:val="0B516172"/>
    <w:rsid w:val="0B572AFB"/>
    <w:rsid w:val="0B8F25CF"/>
    <w:rsid w:val="0B994C5C"/>
    <w:rsid w:val="0B9A714E"/>
    <w:rsid w:val="0BAF5A06"/>
    <w:rsid w:val="0BCD625B"/>
    <w:rsid w:val="0BD12334"/>
    <w:rsid w:val="0BF70A2C"/>
    <w:rsid w:val="0BFD5750"/>
    <w:rsid w:val="0C162189"/>
    <w:rsid w:val="0C2777D7"/>
    <w:rsid w:val="0C3A1983"/>
    <w:rsid w:val="0C3E290C"/>
    <w:rsid w:val="0C43238A"/>
    <w:rsid w:val="0C450EED"/>
    <w:rsid w:val="0C454358"/>
    <w:rsid w:val="0C4E7E1A"/>
    <w:rsid w:val="0C542D60"/>
    <w:rsid w:val="0C585DFB"/>
    <w:rsid w:val="0C5903C0"/>
    <w:rsid w:val="0C72273B"/>
    <w:rsid w:val="0C756007"/>
    <w:rsid w:val="0C826A8C"/>
    <w:rsid w:val="0C98251C"/>
    <w:rsid w:val="0C9F7A16"/>
    <w:rsid w:val="0CD22323"/>
    <w:rsid w:val="0CE07496"/>
    <w:rsid w:val="0CE40AC2"/>
    <w:rsid w:val="0CE91772"/>
    <w:rsid w:val="0CEA2780"/>
    <w:rsid w:val="0CEA3A22"/>
    <w:rsid w:val="0CEB5773"/>
    <w:rsid w:val="0CEF1F24"/>
    <w:rsid w:val="0CF41D29"/>
    <w:rsid w:val="0CF63284"/>
    <w:rsid w:val="0D007DAA"/>
    <w:rsid w:val="0D053F7E"/>
    <w:rsid w:val="0D06458A"/>
    <w:rsid w:val="0D1564EA"/>
    <w:rsid w:val="0D262A34"/>
    <w:rsid w:val="0D344916"/>
    <w:rsid w:val="0D3847D3"/>
    <w:rsid w:val="0D4D386B"/>
    <w:rsid w:val="0D4D7EC0"/>
    <w:rsid w:val="0D502AED"/>
    <w:rsid w:val="0D524E8A"/>
    <w:rsid w:val="0D557D5D"/>
    <w:rsid w:val="0D6B728C"/>
    <w:rsid w:val="0D7D3B39"/>
    <w:rsid w:val="0D9050AA"/>
    <w:rsid w:val="0D940D3B"/>
    <w:rsid w:val="0D996B95"/>
    <w:rsid w:val="0DD12DCE"/>
    <w:rsid w:val="0DE32F62"/>
    <w:rsid w:val="0DE62661"/>
    <w:rsid w:val="0E013BFF"/>
    <w:rsid w:val="0E156793"/>
    <w:rsid w:val="0E237FD7"/>
    <w:rsid w:val="0E240A6D"/>
    <w:rsid w:val="0E3F6819"/>
    <w:rsid w:val="0E403300"/>
    <w:rsid w:val="0E430EE0"/>
    <w:rsid w:val="0E471111"/>
    <w:rsid w:val="0E4F1ED7"/>
    <w:rsid w:val="0E5D138A"/>
    <w:rsid w:val="0E5D2B55"/>
    <w:rsid w:val="0E606EB6"/>
    <w:rsid w:val="0E6204A0"/>
    <w:rsid w:val="0E6A1EAE"/>
    <w:rsid w:val="0E7110B7"/>
    <w:rsid w:val="0E730E85"/>
    <w:rsid w:val="0E7D5FF9"/>
    <w:rsid w:val="0EA946AA"/>
    <w:rsid w:val="0EB929F7"/>
    <w:rsid w:val="0EBA1105"/>
    <w:rsid w:val="0EC70812"/>
    <w:rsid w:val="0ED13899"/>
    <w:rsid w:val="0ED73BE1"/>
    <w:rsid w:val="0EE175F3"/>
    <w:rsid w:val="0EFA30CA"/>
    <w:rsid w:val="0F070096"/>
    <w:rsid w:val="0F2E3BE5"/>
    <w:rsid w:val="0F4054EB"/>
    <w:rsid w:val="0F447997"/>
    <w:rsid w:val="0F4A58E7"/>
    <w:rsid w:val="0F4B7E6C"/>
    <w:rsid w:val="0F4E2A5F"/>
    <w:rsid w:val="0F54050F"/>
    <w:rsid w:val="0F584DE7"/>
    <w:rsid w:val="0F614E10"/>
    <w:rsid w:val="0F686D95"/>
    <w:rsid w:val="0F701879"/>
    <w:rsid w:val="0F714907"/>
    <w:rsid w:val="0F781C07"/>
    <w:rsid w:val="0F8031EB"/>
    <w:rsid w:val="0F966711"/>
    <w:rsid w:val="0FA35346"/>
    <w:rsid w:val="0FAE5637"/>
    <w:rsid w:val="0FB158EF"/>
    <w:rsid w:val="0FC04729"/>
    <w:rsid w:val="0FD35BC9"/>
    <w:rsid w:val="0FE30CEA"/>
    <w:rsid w:val="0FE9698D"/>
    <w:rsid w:val="100A7D11"/>
    <w:rsid w:val="101A39F4"/>
    <w:rsid w:val="102F4ACE"/>
    <w:rsid w:val="103576DA"/>
    <w:rsid w:val="103C4233"/>
    <w:rsid w:val="1041649B"/>
    <w:rsid w:val="105068DF"/>
    <w:rsid w:val="106812D9"/>
    <w:rsid w:val="10690299"/>
    <w:rsid w:val="106A3FCA"/>
    <w:rsid w:val="106C7077"/>
    <w:rsid w:val="10751B83"/>
    <w:rsid w:val="107C55FD"/>
    <w:rsid w:val="107F3B91"/>
    <w:rsid w:val="108F0103"/>
    <w:rsid w:val="109A7662"/>
    <w:rsid w:val="109B7A35"/>
    <w:rsid w:val="10BA50B8"/>
    <w:rsid w:val="10C55FF7"/>
    <w:rsid w:val="10C9432B"/>
    <w:rsid w:val="10CC0E23"/>
    <w:rsid w:val="10D1490A"/>
    <w:rsid w:val="10E44A17"/>
    <w:rsid w:val="10F27603"/>
    <w:rsid w:val="10F41E0C"/>
    <w:rsid w:val="110273D7"/>
    <w:rsid w:val="11057C1A"/>
    <w:rsid w:val="11092F7F"/>
    <w:rsid w:val="1110726F"/>
    <w:rsid w:val="11261222"/>
    <w:rsid w:val="112D533E"/>
    <w:rsid w:val="11334A50"/>
    <w:rsid w:val="1140009B"/>
    <w:rsid w:val="114503EF"/>
    <w:rsid w:val="11524033"/>
    <w:rsid w:val="11574A4A"/>
    <w:rsid w:val="115965A2"/>
    <w:rsid w:val="115F3535"/>
    <w:rsid w:val="116336C1"/>
    <w:rsid w:val="1169707E"/>
    <w:rsid w:val="1185204B"/>
    <w:rsid w:val="118B1C04"/>
    <w:rsid w:val="118B2B8D"/>
    <w:rsid w:val="11962A9A"/>
    <w:rsid w:val="119719DC"/>
    <w:rsid w:val="119936BD"/>
    <w:rsid w:val="11A95883"/>
    <w:rsid w:val="11C92F77"/>
    <w:rsid w:val="11CD2780"/>
    <w:rsid w:val="11D54FE9"/>
    <w:rsid w:val="11D8302D"/>
    <w:rsid w:val="11E95FD6"/>
    <w:rsid w:val="11F62D2C"/>
    <w:rsid w:val="11F919E6"/>
    <w:rsid w:val="12161999"/>
    <w:rsid w:val="121932A0"/>
    <w:rsid w:val="121F319A"/>
    <w:rsid w:val="12374DE7"/>
    <w:rsid w:val="12384CDF"/>
    <w:rsid w:val="124E4E9F"/>
    <w:rsid w:val="125E21AE"/>
    <w:rsid w:val="1266614E"/>
    <w:rsid w:val="12677525"/>
    <w:rsid w:val="126C2576"/>
    <w:rsid w:val="126E0A5F"/>
    <w:rsid w:val="12756392"/>
    <w:rsid w:val="127B46D8"/>
    <w:rsid w:val="12843CC3"/>
    <w:rsid w:val="12955B4B"/>
    <w:rsid w:val="12C37632"/>
    <w:rsid w:val="12CE43CB"/>
    <w:rsid w:val="12D91E3C"/>
    <w:rsid w:val="1300152D"/>
    <w:rsid w:val="130575A9"/>
    <w:rsid w:val="130A100E"/>
    <w:rsid w:val="1316499A"/>
    <w:rsid w:val="131826E7"/>
    <w:rsid w:val="13275986"/>
    <w:rsid w:val="132A1B33"/>
    <w:rsid w:val="132E2C2F"/>
    <w:rsid w:val="133F239D"/>
    <w:rsid w:val="136141FD"/>
    <w:rsid w:val="13830C17"/>
    <w:rsid w:val="13903A32"/>
    <w:rsid w:val="13910E2A"/>
    <w:rsid w:val="13A47D4B"/>
    <w:rsid w:val="13A7334E"/>
    <w:rsid w:val="13BD2A56"/>
    <w:rsid w:val="13C02FE7"/>
    <w:rsid w:val="13C512B7"/>
    <w:rsid w:val="13CE1606"/>
    <w:rsid w:val="13CF75B8"/>
    <w:rsid w:val="13D053A2"/>
    <w:rsid w:val="13FE22B2"/>
    <w:rsid w:val="13FE7BE8"/>
    <w:rsid w:val="1416416A"/>
    <w:rsid w:val="141716A6"/>
    <w:rsid w:val="141C1ED1"/>
    <w:rsid w:val="1426702A"/>
    <w:rsid w:val="14387D33"/>
    <w:rsid w:val="143B56C6"/>
    <w:rsid w:val="145E0EED"/>
    <w:rsid w:val="1470736C"/>
    <w:rsid w:val="14721084"/>
    <w:rsid w:val="1483087B"/>
    <w:rsid w:val="148E2274"/>
    <w:rsid w:val="148E4BAD"/>
    <w:rsid w:val="149A31DE"/>
    <w:rsid w:val="14B14F17"/>
    <w:rsid w:val="14B210E8"/>
    <w:rsid w:val="14E86293"/>
    <w:rsid w:val="14F75EA8"/>
    <w:rsid w:val="14FB7E2A"/>
    <w:rsid w:val="14FC5E1D"/>
    <w:rsid w:val="15046955"/>
    <w:rsid w:val="15105D0A"/>
    <w:rsid w:val="151B10CA"/>
    <w:rsid w:val="15286FDE"/>
    <w:rsid w:val="153D225F"/>
    <w:rsid w:val="153E25AF"/>
    <w:rsid w:val="15400895"/>
    <w:rsid w:val="155100B2"/>
    <w:rsid w:val="1551653F"/>
    <w:rsid w:val="15587ED7"/>
    <w:rsid w:val="155921A3"/>
    <w:rsid w:val="156E5CD8"/>
    <w:rsid w:val="157E65A3"/>
    <w:rsid w:val="158125D9"/>
    <w:rsid w:val="15860EAF"/>
    <w:rsid w:val="158E2D1B"/>
    <w:rsid w:val="15B00261"/>
    <w:rsid w:val="15B93CC7"/>
    <w:rsid w:val="15D42135"/>
    <w:rsid w:val="15E413B9"/>
    <w:rsid w:val="15EA7A12"/>
    <w:rsid w:val="15F40F6A"/>
    <w:rsid w:val="16010B2B"/>
    <w:rsid w:val="16054575"/>
    <w:rsid w:val="161B29CD"/>
    <w:rsid w:val="162A54E7"/>
    <w:rsid w:val="162C4CE0"/>
    <w:rsid w:val="162D7EC0"/>
    <w:rsid w:val="1636315E"/>
    <w:rsid w:val="163F44E4"/>
    <w:rsid w:val="1645242E"/>
    <w:rsid w:val="164D6526"/>
    <w:rsid w:val="165A7C5E"/>
    <w:rsid w:val="167F4334"/>
    <w:rsid w:val="168007E5"/>
    <w:rsid w:val="168E0902"/>
    <w:rsid w:val="169937FF"/>
    <w:rsid w:val="16A312A3"/>
    <w:rsid w:val="16BD3F46"/>
    <w:rsid w:val="16BF3F85"/>
    <w:rsid w:val="16C176A2"/>
    <w:rsid w:val="16C71F34"/>
    <w:rsid w:val="16D31BB0"/>
    <w:rsid w:val="170851E2"/>
    <w:rsid w:val="17105E70"/>
    <w:rsid w:val="17203537"/>
    <w:rsid w:val="172A513C"/>
    <w:rsid w:val="17385933"/>
    <w:rsid w:val="173A5CDB"/>
    <w:rsid w:val="17481D8A"/>
    <w:rsid w:val="17573B78"/>
    <w:rsid w:val="17697EED"/>
    <w:rsid w:val="176A0A53"/>
    <w:rsid w:val="17744B22"/>
    <w:rsid w:val="1774580B"/>
    <w:rsid w:val="177A52D5"/>
    <w:rsid w:val="177D4D10"/>
    <w:rsid w:val="17870458"/>
    <w:rsid w:val="178E2A05"/>
    <w:rsid w:val="179642B2"/>
    <w:rsid w:val="1797455E"/>
    <w:rsid w:val="179D642D"/>
    <w:rsid w:val="17A214EF"/>
    <w:rsid w:val="17A82058"/>
    <w:rsid w:val="17AD0394"/>
    <w:rsid w:val="17B55C77"/>
    <w:rsid w:val="17C36142"/>
    <w:rsid w:val="17CF6DD5"/>
    <w:rsid w:val="17D17CAD"/>
    <w:rsid w:val="17D562F5"/>
    <w:rsid w:val="17EB5B05"/>
    <w:rsid w:val="17F304EA"/>
    <w:rsid w:val="17F604CF"/>
    <w:rsid w:val="180A0567"/>
    <w:rsid w:val="18320839"/>
    <w:rsid w:val="184C3A5E"/>
    <w:rsid w:val="184F5E7E"/>
    <w:rsid w:val="18645BDF"/>
    <w:rsid w:val="1881218D"/>
    <w:rsid w:val="1895486C"/>
    <w:rsid w:val="189B52F7"/>
    <w:rsid w:val="18A54F8C"/>
    <w:rsid w:val="18B27B98"/>
    <w:rsid w:val="18C85CC0"/>
    <w:rsid w:val="18D16072"/>
    <w:rsid w:val="18D467DC"/>
    <w:rsid w:val="18E77784"/>
    <w:rsid w:val="18E91C61"/>
    <w:rsid w:val="18ED20CC"/>
    <w:rsid w:val="18F1206C"/>
    <w:rsid w:val="18FD0A92"/>
    <w:rsid w:val="18FD19B7"/>
    <w:rsid w:val="19051374"/>
    <w:rsid w:val="191F73FB"/>
    <w:rsid w:val="192969BC"/>
    <w:rsid w:val="1931394A"/>
    <w:rsid w:val="19365474"/>
    <w:rsid w:val="19406EDA"/>
    <w:rsid w:val="19567CB8"/>
    <w:rsid w:val="19690C8B"/>
    <w:rsid w:val="19692D43"/>
    <w:rsid w:val="19752F13"/>
    <w:rsid w:val="198465DD"/>
    <w:rsid w:val="198A4847"/>
    <w:rsid w:val="19927A17"/>
    <w:rsid w:val="199D7B5C"/>
    <w:rsid w:val="19A835A6"/>
    <w:rsid w:val="19B603A9"/>
    <w:rsid w:val="19B61DCD"/>
    <w:rsid w:val="19BF59C7"/>
    <w:rsid w:val="19BF7445"/>
    <w:rsid w:val="19CB7600"/>
    <w:rsid w:val="19D81B5C"/>
    <w:rsid w:val="19DA16CB"/>
    <w:rsid w:val="19DF2FBA"/>
    <w:rsid w:val="19F2295D"/>
    <w:rsid w:val="1A062BE5"/>
    <w:rsid w:val="1A1B2234"/>
    <w:rsid w:val="1A2818BC"/>
    <w:rsid w:val="1A317351"/>
    <w:rsid w:val="1A33186A"/>
    <w:rsid w:val="1A36104F"/>
    <w:rsid w:val="1A533894"/>
    <w:rsid w:val="1A534FA2"/>
    <w:rsid w:val="1A6C360A"/>
    <w:rsid w:val="1A721395"/>
    <w:rsid w:val="1A7E2AFC"/>
    <w:rsid w:val="1A7F02BD"/>
    <w:rsid w:val="1A801DED"/>
    <w:rsid w:val="1A977238"/>
    <w:rsid w:val="1AA86102"/>
    <w:rsid w:val="1AAD7B27"/>
    <w:rsid w:val="1ACF3B92"/>
    <w:rsid w:val="1AD61A70"/>
    <w:rsid w:val="1ADA5143"/>
    <w:rsid w:val="1ADF0BEB"/>
    <w:rsid w:val="1AE06EC4"/>
    <w:rsid w:val="1AFC55C3"/>
    <w:rsid w:val="1B024724"/>
    <w:rsid w:val="1B1A0C72"/>
    <w:rsid w:val="1B3741A5"/>
    <w:rsid w:val="1B374B8B"/>
    <w:rsid w:val="1B44218E"/>
    <w:rsid w:val="1B510832"/>
    <w:rsid w:val="1B6C7FF2"/>
    <w:rsid w:val="1B7B0E8E"/>
    <w:rsid w:val="1B7C1E71"/>
    <w:rsid w:val="1B8A3868"/>
    <w:rsid w:val="1B961DD2"/>
    <w:rsid w:val="1BA23A9E"/>
    <w:rsid w:val="1BB36A0B"/>
    <w:rsid w:val="1BB61F88"/>
    <w:rsid w:val="1BBD5B33"/>
    <w:rsid w:val="1BC01616"/>
    <w:rsid w:val="1BC33752"/>
    <w:rsid w:val="1BC36A3E"/>
    <w:rsid w:val="1BC9672C"/>
    <w:rsid w:val="1BC967DD"/>
    <w:rsid w:val="1BD82026"/>
    <w:rsid w:val="1BDC0DA0"/>
    <w:rsid w:val="1BE8773F"/>
    <w:rsid w:val="1BEF6031"/>
    <w:rsid w:val="1BF32A8A"/>
    <w:rsid w:val="1BF417FD"/>
    <w:rsid w:val="1BF823EE"/>
    <w:rsid w:val="1C005F21"/>
    <w:rsid w:val="1C15020D"/>
    <w:rsid w:val="1C221B55"/>
    <w:rsid w:val="1C2376C7"/>
    <w:rsid w:val="1C320370"/>
    <w:rsid w:val="1C3942D2"/>
    <w:rsid w:val="1C394DD8"/>
    <w:rsid w:val="1C3C66B8"/>
    <w:rsid w:val="1C4A67AB"/>
    <w:rsid w:val="1C62431D"/>
    <w:rsid w:val="1C70077C"/>
    <w:rsid w:val="1C8A6E19"/>
    <w:rsid w:val="1C9D10A0"/>
    <w:rsid w:val="1CAA4BBE"/>
    <w:rsid w:val="1CB73414"/>
    <w:rsid w:val="1CB91B34"/>
    <w:rsid w:val="1CBA4BB0"/>
    <w:rsid w:val="1CBC6583"/>
    <w:rsid w:val="1CCB48B1"/>
    <w:rsid w:val="1CD321E4"/>
    <w:rsid w:val="1CE25B2D"/>
    <w:rsid w:val="1CE50701"/>
    <w:rsid w:val="1CF04F09"/>
    <w:rsid w:val="1CF82761"/>
    <w:rsid w:val="1CFE5FF0"/>
    <w:rsid w:val="1D19119F"/>
    <w:rsid w:val="1D220B0C"/>
    <w:rsid w:val="1D2B467E"/>
    <w:rsid w:val="1D2D54C2"/>
    <w:rsid w:val="1D2F3AAE"/>
    <w:rsid w:val="1D34640B"/>
    <w:rsid w:val="1D3B486B"/>
    <w:rsid w:val="1D414729"/>
    <w:rsid w:val="1D466C1A"/>
    <w:rsid w:val="1D47697B"/>
    <w:rsid w:val="1D515DB4"/>
    <w:rsid w:val="1D57176E"/>
    <w:rsid w:val="1D5D3ABE"/>
    <w:rsid w:val="1D712CE5"/>
    <w:rsid w:val="1D8A081D"/>
    <w:rsid w:val="1D8C6FE3"/>
    <w:rsid w:val="1DB62792"/>
    <w:rsid w:val="1DBE442F"/>
    <w:rsid w:val="1DC05B85"/>
    <w:rsid w:val="1DC61A69"/>
    <w:rsid w:val="1DD77A12"/>
    <w:rsid w:val="1DEA5709"/>
    <w:rsid w:val="1DFA75A1"/>
    <w:rsid w:val="1E180FDB"/>
    <w:rsid w:val="1E1C1769"/>
    <w:rsid w:val="1E2D34ED"/>
    <w:rsid w:val="1E2F738C"/>
    <w:rsid w:val="1E386EBF"/>
    <w:rsid w:val="1E3C3B36"/>
    <w:rsid w:val="1E43593B"/>
    <w:rsid w:val="1E50235A"/>
    <w:rsid w:val="1E6033B5"/>
    <w:rsid w:val="1E6612A5"/>
    <w:rsid w:val="1E720AEA"/>
    <w:rsid w:val="1E883EA0"/>
    <w:rsid w:val="1E9E5D01"/>
    <w:rsid w:val="1E9F55EF"/>
    <w:rsid w:val="1EA45613"/>
    <w:rsid w:val="1EAE1232"/>
    <w:rsid w:val="1EB43059"/>
    <w:rsid w:val="1EC01324"/>
    <w:rsid w:val="1EC029E5"/>
    <w:rsid w:val="1EDE1367"/>
    <w:rsid w:val="1EDE39E6"/>
    <w:rsid w:val="1EDF4DCE"/>
    <w:rsid w:val="1EE85853"/>
    <w:rsid w:val="1EE928D9"/>
    <w:rsid w:val="1EEE574A"/>
    <w:rsid w:val="1EFB4919"/>
    <w:rsid w:val="1EFE39A4"/>
    <w:rsid w:val="1EFF4947"/>
    <w:rsid w:val="1F037330"/>
    <w:rsid w:val="1F0479DD"/>
    <w:rsid w:val="1F0C25E7"/>
    <w:rsid w:val="1F255F28"/>
    <w:rsid w:val="1F267205"/>
    <w:rsid w:val="1F2C3279"/>
    <w:rsid w:val="1F3664DE"/>
    <w:rsid w:val="1F3A234B"/>
    <w:rsid w:val="1F45450A"/>
    <w:rsid w:val="1F7E0416"/>
    <w:rsid w:val="1F8C7EA1"/>
    <w:rsid w:val="1F936435"/>
    <w:rsid w:val="1FA1565C"/>
    <w:rsid w:val="1FA3316A"/>
    <w:rsid w:val="1FAA74E4"/>
    <w:rsid w:val="1FAE1D20"/>
    <w:rsid w:val="1FB945FC"/>
    <w:rsid w:val="1FBE0E2A"/>
    <w:rsid w:val="1FCD1D7A"/>
    <w:rsid w:val="1FCE2802"/>
    <w:rsid w:val="1FD11034"/>
    <w:rsid w:val="1FDE5354"/>
    <w:rsid w:val="1FDF2A70"/>
    <w:rsid w:val="20002AA7"/>
    <w:rsid w:val="201D27E5"/>
    <w:rsid w:val="201D35FB"/>
    <w:rsid w:val="20224C16"/>
    <w:rsid w:val="202962D1"/>
    <w:rsid w:val="203154B9"/>
    <w:rsid w:val="20354A02"/>
    <w:rsid w:val="20493EDA"/>
    <w:rsid w:val="204E0754"/>
    <w:rsid w:val="20564DEF"/>
    <w:rsid w:val="20581CAA"/>
    <w:rsid w:val="2059426F"/>
    <w:rsid w:val="20595C10"/>
    <w:rsid w:val="205D5DA3"/>
    <w:rsid w:val="20631944"/>
    <w:rsid w:val="206C7CA5"/>
    <w:rsid w:val="207B3609"/>
    <w:rsid w:val="207E5594"/>
    <w:rsid w:val="2093632D"/>
    <w:rsid w:val="20961B88"/>
    <w:rsid w:val="209A4599"/>
    <w:rsid w:val="20A2455E"/>
    <w:rsid w:val="20AF4197"/>
    <w:rsid w:val="20C816FC"/>
    <w:rsid w:val="20D70B9A"/>
    <w:rsid w:val="20DC595F"/>
    <w:rsid w:val="20E769DB"/>
    <w:rsid w:val="20FD7887"/>
    <w:rsid w:val="21086B8C"/>
    <w:rsid w:val="211F7945"/>
    <w:rsid w:val="2121556D"/>
    <w:rsid w:val="21307593"/>
    <w:rsid w:val="21464261"/>
    <w:rsid w:val="215124A2"/>
    <w:rsid w:val="215C3A2B"/>
    <w:rsid w:val="21652199"/>
    <w:rsid w:val="216569DB"/>
    <w:rsid w:val="2175577C"/>
    <w:rsid w:val="2176591C"/>
    <w:rsid w:val="218742A9"/>
    <w:rsid w:val="219004DD"/>
    <w:rsid w:val="21924EB4"/>
    <w:rsid w:val="2193173A"/>
    <w:rsid w:val="21963CFD"/>
    <w:rsid w:val="21A21699"/>
    <w:rsid w:val="21AB7650"/>
    <w:rsid w:val="21AD783D"/>
    <w:rsid w:val="21B77E21"/>
    <w:rsid w:val="21BA038D"/>
    <w:rsid w:val="21C07F6A"/>
    <w:rsid w:val="21C94AA6"/>
    <w:rsid w:val="21DB1FFD"/>
    <w:rsid w:val="21E43C56"/>
    <w:rsid w:val="21F135A6"/>
    <w:rsid w:val="21F33A86"/>
    <w:rsid w:val="220F4B89"/>
    <w:rsid w:val="221A78FA"/>
    <w:rsid w:val="22217AF8"/>
    <w:rsid w:val="22231288"/>
    <w:rsid w:val="222656FB"/>
    <w:rsid w:val="222A4302"/>
    <w:rsid w:val="223503D5"/>
    <w:rsid w:val="22495FD1"/>
    <w:rsid w:val="22563004"/>
    <w:rsid w:val="225C13EB"/>
    <w:rsid w:val="225D07D9"/>
    <w:rsid w:val="225E00F6"/>
    <w:rsid w:val="226A1353"/>
    <w:rsid w:val="226E0611"/>
    <w:rsid w:val="227806B7"/>
    <w:rsid w:val="227B55ED"/>
    <w:rsid w:val="228267FC"/>
    <w:rsid w:val="22831524"/>
    <w:rsid w:val="228A4652"/>
    <w:rsid w:val="229E509D"/>
    <w:rsid w:val="22D83A17"/>
    <w:rsid w:val="22DB6D0F"/>
    <w:rsid w:val="22DF5BBC"/>
    <w:rsid w:val="22E829F3"/>
    <w:rsid w:val="22EB0CD3"/>
    <w:rsid w:val="22FE209D"/>
    <w:rsid w:val="22FE7B0D"/>
    <w:rsid w:val="230E605F"/>
    <w:rsid w:val="23134588"/>
    <w:rsid w:val="231E31C0"/>
    <w:rsid w:val="23245169"/>
    <w:rsid w:val="232B7172"/>
    <w:rsid w:val="2332751E"/>
    <w:rsid w:val="23447869"/>
    <w:rsid w:val="234F2391"/>
    <w:rsid w:val="23527166"/>
    <w:rsid w:val="235E4B34"/>
    <w:rsid w:val="2361356C"/>
    <w:rsid w:val="236534D4"/>
    <w:rsid w:val="23715CA1"/>
    <w:rsid w:val="23746555"/>
    <w:rsid w:val="23776278"/>
    <w:rsid w:val="238C1B91"/>
    <w:rsid w:val="23906632"/>
    <w:rsid w:val="239F0272"/>
    <w:rsid w:val="23A37052"/>
    <w:rsid w:val="23A42439"/>
    <w:rsid w:val="23B63C94"/>
    <w:rsid w:val="23C024F9"/>
    <w:rsid w:val="23C818B5"/>
    <w:rsid w:val="23CF4209"/>
    <w:rsid w:val="23E50D94"/>
    <w:rsid w:val="23E96AE9"/>
    <w:rsid w:val="23EA7CCF"/>
    <w:rsid w:val="23F25323"/>
    <w:rsid w:val="240A5D36"/>
    <w:rsid w:val="24226F6B"/>
    <w:rsid w:val="24227EFA"/>
    <w:rsid w:val="242D1136"/>
    <w:rsid w:val="24452AEB"/>
    <w:rsid w:val="24461BFF"/>
    <w:rsid w:val="246E2889"/>
    <w:rsid w:val="24774804"/>
    <w:rsid w:val="248F4775"/>
    <w:rsid w:val="24BE0A07"/>
    <w:rsid w:val="24CE4EDB"/>
    <w:rsid w:val="24CF0D9B"/>
    <w:rsid w:val="24E84D3B"/>
    <w:rsid w:val="24EF347F"/>
    <w:rsid w:val="2509334D"/>
    <w:rsid w:val="2522026F"/>
    <w:rsid w:val="25456070"/>
    <w:rsid w:val="254C1939"/>
    <w:rsid w:val="255766B0"/>
    <w:rsid w:val="25591ADB"/>
    <w:rsid w:val="255A441C"/>
    <w:rsid w:val="256707B1"/>
    <w:rsid w:val="257320F5"/>
    <w:rsid w:val="257D3661"/>
    <w:rsid w:val="257E3055"/>
    <w:rsid w:val="257F5115"/>
    <w:rsid w:val="259A73E7"/>
    <w:rsid w:val="259C3BC1"/>
    <w:rsid w:val="25B05E26"/>
    <w:rsid w:val="25B12E6A"/>
    <w:rsid w:val="25BC559C"/>
    <w:rsid w:val="25C14BA5"/>
    <w:rsid w:val="25D876A0"/>
    <w:rsid w:val="25DE6C9C"/>
    <w:rsid w:val="25E20B75"/>
    <w:rsid w:val="25F2182D"/>
    <w:rsid w:val="260C10C0"/>
    <w:rsid w:val="260D542B"/>
    <w:rsid w:val="26171AA9"/>
    <w:rsid w:val="262E3E9D"/>
    <w:rsid w:val="262F613A"/>
    <w:rsid w:val="263D0333"/>
    <w:rsid w:val="26401C25"/>
    <w:rsid w:val="26617EF0"/>
    <w:rsid w:val="26807754"/>
    <w:rsid w:val="26852778"/>
    <w:rsid w:val="268D644C"/>
    <w:rsid w:val="269E315B"/>
    <w:rsid w:val="269E7756"/>
    <w:rsid w:val="26A27B02"/>
    <w:rsid w:val="26A31D36"/>
    <w:rsid w:val="26A82317"/>
    <w:rsid w:val="26B06C1C"/>
    <w:rsid w:val="26E827F7"/>
    <w:rsid w:val="26FE2888"/>
    <w:rsid w:val="270234FA"/>
    <w:rsid w:val="2704023C"/>
    <w:rsid w:val="27120C0A"/>
    <w:rsid w:val="271A7A8C"/>
    <w:rsid w:val="271F3C66"/>
    <w:rsid w:val="272407B2"/>
    <w:rsid w:val="272D02C6"/>
    <w:rsid w:val="272F6B41"/>
    <w:rsid w:val="27357F06"/>
    <w:rsid w:val="273B57B1"/>
    <w:rsid w:val="274152F4"/>
    <w:rsid w:val="27451FB2"/>
    <w:rsid w:val="27453533"/>
    <w:rsid w:val="274A5F5B"/>
    <w:rsid w:val="275B3207"/>
    <w:rsid w:val="276A4543"/>
    <w:rsid w:val="27766CCF"/>
    <w:rsid w:val="278F3D57"/>
    <w:rsid w:val="27A03F59"/>
    <w:rsid w:val="27AD1C60"/>
    <w:rsid w:val="27CB07FD"/>
    <w:rsid w:val="27CC285E"/>
    <w:rsid w:val="27D218B7"/>
    <w:rsid w:val="27DD538B"/>
    <w:rsid w:val="27DD79E3"/>
    <w:rsid w:val="27E92870"/>
    <w:rsid w:val="27E94246"/>
    <w:rsid w:val="2800440C"/>
    <w:rsid w:val="28042418"/>
    <w:rsid w:val="2804567B"/>
    <w:rsid w:val="280525F7"/>
    <w:rsid w:val="280F4712"/>
    <w:rsid w:val="281B2827"/>
    <w:rsid w:val="28235CE1"/>
    <w:rsid w:val="28246299"/>
    <w:rsid w:val="282C02CA"/>
    <w:rsid w:val="282D385F"/>
    <w:rsid w:val="282F2BEF"/>
    <w:rsid w:val="283303C5"/>
    <w:rsid w:val="28454D3D"/>
    <w:rsid w:val="284F3C99"/>
    <w:rsid w:val="285E4DD6"/>
    <w:rsid w:val="28683D3F"/>
    <w:rsid w:val="28716B92"/>
    <w:rsid w:val="28852C46"/>
    <w:rsid w:val="288F7B44"/>
    <w:rsid w:val="289874AD"/>
    <w:rsid w:val="289D7D27"/>
    <w:rsid w:val="28B34249"/>
    <w:rsid w:val="28B9678F"/>
    <w:rsid w:val="28CD0C7A"/>
    <w:rsid w:val="28D27790"/>
    <w:rsid w:val="28E264CB"/>
    <w:rsid w:val="28E36D7D"/>
    <w:rsid w:val="28E773E7"/>
    <w:rsid w:val="28EB0E68"/>
    <w:rsid w:val="28F27812"/>
    <w:rsid w:val="28F43829"/>
    <w:rsid w:val="29051094"/>
    <w:rsid w:val="290C4945"/>
    <w:rsid w:val="293144F8"/>
    <w:rsid w:val="29316908"/>
    <w:rsid w:val="29335A33"/>
    <w:rsid w:val="29394DAE"/>
    <w:rsid w:val="293C0125"/>
    <w:rsid w:val="293E17B6"/>
    <w:rsid w:val="294C6D63"/>
    <w:rsid w:val="294E571B"/>
    <w:rsid w:val="29591A43"/>
    <w:rsid w:val="295B6AC8"/>
    <w:rsid w:val="296B141F"/>
    <w:rsid w:val="2978599D"/>
    <w:rsid w:val="29807C98"/>
    <w:rsid w:val="29847AA5"/>
    <w:rsid w:val="29887517"/>
    <w:rsid w:val="298C29E2"/>
    <w:rsid w:val="299028E2"/>
    <w:rsid w:val="29935947"/>
    <w:rsid w:val="299E0DF9"/>
    <w:rsid w:val="299E263A"/>
    <w:rsid w:val="29AB065F"/>
    <w:rsid w:val="29B24C9F"/>
    <w:rsid w:val="29B42CBB"/>
    <w:rsid w:val="29C04496"/>
    <w:rsid w:val="29EF5EEC"/>
    <w:rsid w:val="29F941AF"/>
    <w:rsid w:val="2A05441E"/>
    <w:rsid w:val="2A0862A8"/>
    <w:rsid w:val="2A087DBB"/>
    <w:rsid w:val="2A106F87"/>
    <w:rsid w:val="2A1A7D5F"/>
    <w:rsid w:val="2A3068EE"/>
    <w:rsid w:val="2A490A46"/>
    <w:rsid w:val="2A53019C"/>
    <w:rsid w:val="2A551616"/>
    <w:rsid w:val="2A566937"/>
    <w:rsid w:val="2A610EC9"/>
    <w:rsid w:val="2A734221"/>
    <w:rsid w:val="2A863DCC"/>
    <w:rsid w:val="2A867665"/>
    <w:rsid w:val="2A872A1B"/>
    <w:rsid w:val="2A9D4FAB"/>
    <w:rsid w:val="2AA3551D"/>
    <w:rsid w:val="2AA41EDA"/>
    <w:rsid w:val="2AA8114B"/>
    <w:rsid w:val="2AD226C3"/>
    <w:rsid w:val="2AD53C3B"/>
    <w:rsid w:val="2AF112F2"/>
    <w:rsid w:val="2B1E45F3"/>
    <w:rsid w:val="2B221B96"/>
    <w:rsid w:val="2B356DFE"/>
    <w:rsid w:val="2B390E22"/>
    <w:rsid w:val="2B4C0C0A"/>
    <w:rsid w:val="2B4F56FC"/>
    <w:rsid w:val="2B524E1F"/>
    <w:rsid w:val="2B662757"/>
    <w:rsid w:val="2B693D4B"/>
    <w:rsid w:val="2B743CCD"/>
    <w:rsid w:val="2BA04000"/>
    <w:rsid w:val="2BBE03C2"/>
    <w:rsid w:val="2BD40382"/>
    <w:rsid w:val="2BE13FBC"/>
    <w:rsid w:val="2BEC053D"/>
    <w:rsid w:val="2BED29FC"/>
    <w:rsid w:val="2BFC5EFB"/>
    <w:rsid w:val="2C1F620C"/>
    <w:rsid w:val="2C224D9C"/>
    <w:rsid w:val="2C294BD5"/>
    <w:rsid w:val="2C394819"/>
    <w:rsid w:val="2C3A0188"/>
    <w:rsid w:val="2C3E6A46"/>
    <w:rsid w:val="2C5463D9"/>
    <w:rsid w:val="2C6A67FF"/>
    <w:rsid w:val="2C6B5C02"/>
    <w:rsid w:val="2C8B550B"/>
    <w:rsid w:val="2C8E2713"/>
    <w:rsid w:val="2C93034B"/>
    <w:rsid w:val="2C936469"/>
    <w:rsid w:val="2CB13DEC"/>
    <w:rsid w:val="2CB37A04"/>
    <w:rsid w:val="2CB66651"/>
    <w:rsid w:val="2CBC1D86"/>
    <w:rsid w:val="2CD04917"/>
    <w:rsid w:val="2CD377A6"/>
    <w:rsid w:val="2CDD1EA2"/>
    <w:rsid w:val="2CE227F4"/>
    <w:rsid w:val="2CF00785"/>
    <w:rsid w:val="2D0746CE"/>
    <w:rsid w:val="2D0B3762"/>
    <w:rsid w:val="2D154036"/>
    <w:rsid w:val="2D1A79C9"/>
    <w:rsid w:val="2D256FAD"/>
    <w:rsid w:val="2D3874BE"/>
    <w:rsid w:val="2D4336D0"/>
    <w:rsid w:val="2D473E9A"/>
    <w:rsid w:val="2D676461"/>
    <w:rsid w:val="2D73658E"/>
    <w:rsid w:val="2D833C74"/>
    <w:rsid w:val="2D87646F"/>
    <w:rsid w:val="2DB2216E"/>
    <w:rsid w:val="2DB607EF"/>
    <w:rsid w:val="2DC0588B"/>
    <w:rsid w:val="2DCA15A3"/>
    <w:rsid w:val="2DCA6294"/>
    <w:rsid w:val="2DD40A9D"/>
    <w:rsid w:val="2DDC54B0"/>
    <w:rsid w:val="2DDE3317"/>
    <w:rsid w:val="2DEF7F0D"/>
    <w:rsid w:val="2E03300A"/>
    <w:rsid w:val="2E106F0C"/>
    <w:rsid w:val="2E2114AA"/>
    <w:rsid w:val="2E3566F1"/>
    <w:rsid w:val="2E3C53B1"/>
    <w:rsid w:val="2E447063"/>
    <w:rsid w:val="2E50414E"/>
    <w:rsid w:val="2E6A45AD"/>
    <w:rsid w:val="2E6B033A"/>
    <w:rsid w:val="2E7B6A15"/>
    <w:rsid w:val="2E8554B3"/>
    <w:rsid w:val="2E8A2176"/>
    <w:rsid w:val="2E99046C"/>
    <w:rsid w:val="2EA60D8F"/>
    <w:rsid w:val="2EA75AB1"/>
    <w:rsid w:val="2EAE7716"/>
    <w:rsid w:val="2EBB121A"/>
    <w:rsid w:val="2EBD462F"/>
    <w:rsid w:val="2EC6763A"/>
    <w:rsid w:val="2EC93823"/>
    <w:rsid w:val="2ECA2ED8"/>
    <w:rsid w:val="2ECB7CF6"/>
    <w:rsid w:val="2EE53B7F"/>
    <w:rsid w:val="2EE654A8"/>
    <w:rsid w:val="2EF171DC"/>
    <w:rsid w:val="2EF35061"/>
    <w:rsid w:val="2EFD1BD0"/>
    <w:rsid w:val="2EFD2E30"/>
    <w:rsid w:val="2F00164C"/>
    <w:rsid w:val="2F0839A0"/>
    <w:rsid w:val="2F0F4175"/>
    <w:rsid w:val="2F147122"/>
    <w:rsid w:val="2F1A77E6"/>
    <w:rsid w:val="2F257256"/>
    <w:rsid w:val="2F2D2EB3"/>
    <w:rsid w:val="2F3C2A19"/>
    <w:rsid w:val="2F3C5E4E"/>
    <w:rsid w:val="2F4969C9"/>
    <w:rsid w:val="2F5F2F27"/>
    <w:rsid w:val="2F632A5E"/>
    <w:rsid w:val="2F6C33F4"/>
    <w:rsid w:val="2F705B41"/>
    <w:rsid w:val="2F727F79"/>
    <w:rsid w:val="2F7870AA"/>
    <w:rsid w:val="2F8B402F"/>
    <w:rsid w:val="2FBF1717"/>
    <w:rsid w:val="2FC20F7F"/>
    <w:rsid w:val="2FC34EAE"/>
    <w:rsid w:val="2FCC7499"/>
    <w:rsid w:val="2FCF2F0A"/>
    <w:rsid w:val="2FE37A81"/>
    <w:rsid w:val="2FE474EF"/>
    <w:rsid w:val="2FEF3317"/>
    <w:rsid w:val="2FF24A8C"/>
    <w:rsid w:val="2FFA41B7"/>
    <w:rsid w:val="30041FE7"/>
    <w:rsid w:val="300707B1"/>
    <w:rsid w:val="300F3355"/>
    <w:rsid w:val="300F68C0"/>
    <w:rsid w:val="30151AE8"/>
    <w:rsid w:val="30272663"/>
    <w:rsid w:val="30272BD6"/>
    <w:rsid w:val="30302F60"/>
    <w:rsid w:val="303109B2"/>
    <w:rsid w:val="30313673"/>
    <w:rsid w:val="30384901"/>
    <w:rsid w:val="303F0F73"/>
    <w:rsid w:val="304642FC"/>
    <w:rsid w:val="30523409"/>
    <w:rsid w:val="30525D11"/>
    <w:rsid w:val="3055412E"/>
    <w:rsid w:val="306D48A3"/>
    <w:rsid w:val="3079364B"/>
    <w:rsid w:val="3084691C"/>
    <w:rsid w:val="30892CB7"/>
    <w:rsid w:val="309900B3"/>
    <w:rsid w:val="309C0801"/>
    <w:rsid w:val="309F4528"/>
    <w:rsid w:val="30AD581E"/>
    <w:rsid w:val="30AF756A"/>
    <w:rsid w:val="30B73679"/>
    <w:rsid w:val="30C15415"/>
    <w:rsid w:val="30DF093D"/>
    <w:rsid w:val="30E61A5A"/>
    <w:rsid w:val="30EE7E5A"/>
    <w:rsid w:val="31035D06"/>
    <w:rsid w:val="311C0A4A"/>
    <w:rsid w:val="311D087D"/>
    <w:rsid w:val="311E38DA"/>
    <w:rsid w:val="31277A96"/>
    <w:rsid w:val="3128590B"/>
    <w:rsid w:val="31363BA3"/>
    <w:rsid w:val="31512808"/>
    <w:rsid w:val="31517572"/>
    <w:rsid w:val="31571098"/>
    <w:rsid w:val="315B3A78"/>
    <w:rsid w:val="315F07A9"/>
    <w:rsid w:val="31630588"/>
    <w:rsid w:val="3165528D"/>
    <w:rsid w:val="316621F3"/>
    <w:rsid w:val="316F7E3A"/>
    <w:rsid w:val="317F362E"/>
    <w:rsid w:val="318F7BCA"/>
    <w:rsid w:val="31972E1E"/>
    <w:rsid w:val="31A36BE0"/>
    <w:rsid w:val="31AD1D07"/>
    <w:rsid w:val="31AE346B"/>
    <w:rsid w:val="31BB7D9D"/>
    <w:rsid w:val="31CC4AFD"/>
    <w:rsid w:val="31CE3D6F"/>
    <w:rsid w:val="31D81696"/>
    <w:rsid w:val="31E27E69"/>
    <w:rsid w:val="31F70739"/>
    <w:rsid w:val="31F8586F"/>
    <w:rsid w:val="32214B7D"/>
    <w:rsid w:val="322C6B8D"/>
    <w:rsid w:val="32330861"/>
    <w:rsid w:val="3255478A"/>
    <w:rsid w:val="325F72D8"/>
    <w:rsid w:val="326B4D5B"/>
    <w:rsid w:val="32791D5D"/>
    <w:rsid w:val="3280496A"/>
    <w:rsid w:val="32851397"/>
    <w:rsid w:val="328B681E"/>
    <w:rsid w:val="3298247E"/>
    <w:rsid w:val="32A16514"/>
    <w:rsid w:val="32C74552"/>
    <w:rsid w:val="32EB039B"/>
    <w:rsid w:val="32F01494"/>
    <w:rsid w:val="32F02F93"/>
    <w:rsid w:val="32FB748A"/>
    <w:rsid w:val="330A66BF"/>
    <w:rsid w:val="330C36EB"/>
    <w:rsid w:val="33196732"/>
    <w:rsid w:val="332E4D79"/>
    <w:rsid w:val="33312396"/>
    <w:rsid w:val="33322389"/>
    <w:rsid w:val="3339489F"/>
    <w:rsid w:val="333B48EA"/>
    <w:rsid w:val="33513968"/>
    <w:rsid w:val="33546457"/>
    <w:rsid w:val="335B38D0"/>
    <w:rsid w:val="336709B3"/>
    <w:rsid w:val="3369446F"/>
    <w:rsid w:val="33723B54"/>
    <w:rsid w:val="337F442F"/>
    <w:rsid w:val="3382212B"/>
    <w:rsid w:val="33AA1596"/>
    <w:rsid w:val="33B90B71"/>
    <w:rsid w:val="33CD124A"/>
    <w:rsid w:val="33D222E9"/>
    <w:rsid w:val="33E24DA5"/>
    <w:rsid w:val="341B1F5A"/>
    <w:rsid w:val="3422427E"/>
    <w:rsid w:val="34366363"/>
    <w:rsid w:val="344928E4"/>
    <w:rsid w:val="345B7FC0"/>
    <w:rsid w:val="34680AD0"/>
    <w:rsid w:val="34723EC2"/>
    <w:rsid w:val="3473269D"/>
    <w:rsid w:val="347B0796"/>
    <w:rsid w:val="34802946"/>
    <w:rsid w:val="3481408B"/>
    <w:rsid w:val="34912E3B"/>
    <w:rsid w:val="34A86EB7"/>
    <w:rsid w:val="34AD7EDF"/>
    <w:rsid w:val="34C570CD"/>
    <w:rsid w:val="34CC33DE"/>
    <w:rsid w:val="34D2185E"/>
    <w:rsid w:val="34DE24D6"/>
    <w:rsid w:val="34EA103F"/>
    <w:rsid w:val="34F5089C"/>
    <w:rsid w:val="34F71AAA"/>
    <w:rsid w:val="350646AE"/>
    <w:rsid w:val="35121BFA"/>
    <w:rsid w:val="35395406"/>
    <w:rsid w:val="354433A4"/>
    <w:rsid w:val="35497EB0"/>
    <w:rsid w:val="354E50BD"/>
    <w:rsid w:val="354F051C"/>
    <w:rsid w:val="35560BFD"/>
    <w:rsid w:val="355C7268"/>
    <w:rsid w:val="356252EC"/>
    <w:rsid w:val="35724B4D"/>
    <w:rsid w:val="35873815"/>
    <w:rsid w:val="35946EAF"/>
    <w:rsid w:val="359B52DB"/>
    <w:rsid w:val="359C5444"/>
    <w:rsid w:val="359D3B92"/>
    <w:rsid w:val="35A15820"/>
    <w:rsid w:val="35B7443D"/>
    <w:rsid w:val="35C97BCD"/>
    <w:rsid w:val="35FD7886"/>
    <w:rsid w:val="361776D6"/>
    <w:rsid w:val="362F204B"/>
    <w:rsid w:val="36391B56"/>
    <w:rsid w:val="363E5C39"/>
    <w:rsid w:val="363E6FE0"/>
    <w:rsid w:val="36457A69"/>
    <w:rsid w:val="366520DD"/>
    <w:rsid w:val="366705EC"/>
    <w:rsid w:val="3669719D"/>
    <w:rsid w:val="366D144B"/>
    <w:rsid w:val="367C37A7"/>
    <w:rsid w:val="36925137"/>
    <w:rsid w:val="369F06F7"/>
    <w:rsid w:val="36B45444"/>
    <w:rsid w:val="36C34357"/>
    <w:rsid w:val="36CA535A"/>
    <w:rsid w:val="36DE5F0A"/>
    <w:rsid w:val="36ED48DD"/>
    <w:rsid w:val="36FB05A8"/>
    <w:rsid w:val="36FD78F0"/>
    <w:rsid w:val="3726323B"/>
    <w:rsid w:val="37447501"/>
    <w:rsid w:val="375E6CF8"/>
    <w:rsid w:val="376669AE"/>
    <w:rsid w:val="376D698E"/>
    <w:rsid w:val="376F756A"/>
    <w:rsid w:val="3772748A"/>
    <w:rsid w:val="37734B74"/>
    <w:rsid w:val="37772EC8"/>
    <w:rsid w:val="37794C54"/>
    <w:rsid w:val="3797546A"/>
    <w:rsid w:val="379C1993"/>
    <w:rsid w:val="379D3A70"/>
    <w:rsid w:val="37A53D0D"/>
    <w:rsid w:val="37A608AF"/>
    <w:rsid w:val="37BF055D"/>
    <w:rsid w:val="37CE4F47"/>
    <w:rsid w:val="37D34910"/>
    <w:rsid w:val="37D8795A"/>
    <w:rsid w:val="37E34090"/>
    <w:rsid w:val="37E36854"/>
    <w:rsid w:val="37EB1D67"/>
    <w:rsid w:val="37FA4918"/>
    <w:rsid w:val="37FE4090"/>
    <w:rsid w:val="38046280"/>
    <w:rsid w:val="381875FC"/>
    <w:rsid w:val="382B1610"/>
    <w:rsid w:val="38360BC4"/>
    <w:rsid w:val="383614D8"/>
    <w:rsid w:val="383C16AB"/>
    <w:rsid w:val="384F4C4B"/>
    <w:rsid w:val="385562E4"/>
    <w:rsid w:val="386810A7"/>
    <w:rsid w:val="386D5FA9"/>
    <w:rsid w:val="386F411E"/>
    <w:rsid w:val="38896131"/>
    <w:rsid w:val="38900AC7"/>
    <w:rsid w:val="38950DFD"/>
    <w:rsid w:val="38A9368D"/>
    <w:rsid w:val="38AC0AA7"/>
    <w:rsid w:val="38AC2FD5"/>
    <w:rsid w:val="38AF0D02"/>
    <w:rsid w:val="38B75C97"/>
    <w:rsid w:val="38B906EA"/>
    <w:rsid w:val="38BB196C"/>
    <w:rsid w:val="38CB3D8A"/>
    <w:rsid w:val="38CC53F8"/>
    <w:rsid w:val="38D10706"/>
    <w:rsid w:val="38D16A0E"/>
    <w:rsid w:val="38DD7C6A"/>
    <w:rsid w:val="38E04535"/>
    <w:rsid w:val="38E05FC6"/>
    <w:rsid w:val="38E309E2"/>
    <w:rsid w:val="38E32156"/>
    <w:rsid w:val="38E57982"/>
    <w:rsid w:val="38FF4DDA"/>
    <w:rsid w:val="391868BB"/>
    <w:rsid w:val="391F4026"/>
    <w:rsid w:val="39201924"/>
    <w:rsid w:val="39211A07"/>
    <w:rsid w:val="39293B49"/>
    <w:rsid w:val="39355D5E"/>
    <w:rsid w:val="394018EF"/>
    <w:rsid w:val="39640602"/>
    <w:rsid w:val="39643EE5"/>
    <w:rsid w:val="396B603B"/>
    <w:rsid w:val="396C737E"/>
    <w:rsid w:val="397528EB"/>
    <w:rsid w:val="39770FE7"/>
    <w:rsid w:val="397A18F7"/>
    <w:rsid w:val="398A4F40"/>
    <w:rsid w:val="398C13B7"/>
    <w:rsid w:val="39932487"/>
    <w:rsid w:val="39A67A75"/>
    <w:rsid w:val="39A8035D"/>
    <w:rsid w:val="39B7143E"/>
    <w:rsid w:val="39BE5E67"/>
    <w:rsid w:val="39C03AB3"/>
    <w:rsid w:val="39C5125F"/>
    <w:rsid w:val="39C56EDB"/>
    <w:rsid w:val="39C82612"/>
    <w:rsid w:val="39DC26F0"/>
    <w:rsid w:val="39DD02CE"/>
    <w:rsid w:val="39DF0E12"/>
    <w:rsid w:val="39EC1A75"/>
    <w:rsid w:val="39F77FCC"/>
    <w:rsid w:val="39FA109B"/>
    <w:rsid w:val="3A0B51C8"/>
    <w:rsid w:val="3A211C11"/>
    <w:rsid w:val="3A2A025C"/>
    <w:rsid w:val="3A377739"/>
    <w:rsid w:val="3A5B0584"/>
    <w:rsid w:val="3A642032"/>
    <w:rsid w:val="3A673E96"/>
    <w:rsid w:val="3A712DFA"/>
    <w:rsid w:val="3A72423A"/>
    <w:rsid w:val="3A8F471C"/>
    <w:rsid w:val="3A997A21"/>
    <w:rsid w:val="3AAC24EE"/>
    <w:rsid w:val="3AAF3EA6"/>
    <w:rsid w:val="3AB65F99"/>
    <w:rsid w:val="3ABE0F25"/>
    <w:rsid w:val="3AC22760"/>
    <w:rsid w:val="3AC40F78"/>
    <w:rsid w:val="3ADA13B0"/>
    <w:rsid w:val="3ADE652C"/>
    <w:rsid w:val="3B0E248D"/>
    <w:rsid w:val="3B1368B8"/>
    <w:rsid w:val="3B1D4769"/>
    <w:rsid w:val="3B1E28FA"/>
    <w:rsid w:val="3B277740"/>
    <w:rsid w:val="3B2C238C"/>
    <w:rsid w:val="3B3B2E5E"/>
    <w:rsid w:val="3B501BCE"/>
    <w:rsid w:val="3B5A126A"/>
    <w:rsid w:val="3B660526"/>
    <w:rsid w:val="3B666D26"/>
    <w:rsid w:val="3B6C4F7A"/>
    <w:rsid w:val="3B703584"/>
    <w:rsid w:val="3B7404F8"/>
    <w:rsid w:val="3B7806D3"/>
    <w:rsid w:val="3B7D0284"/>
    <w:rsid w:val="3B862686"/>
    <w:rsid w:val="3B8F374F"/>
    <w:rsid w:val="3B9C3E1F"/>
    <w:rsid w:val="3BA128C1"/>
    <w:rsid w:val="3BA25B08"/>
    <w:rsid w:val="3BAE212B"/>
    <w:rsid w:val="3BBB68EE"/>
    <w:rsid w:val="3BBF388E"/>
    <w:rsid w:val="3BC368D8"/>
    <w:rsid w:val="3BD821CE"/>
    <w:rsid w:val="3BE64CBF"/>
    <w:rsid w:val="3BEA4C88"/>
    <w:rsid w:val="3BF179D5"/>
    <w:rsid w:val="3BF67E54"/>
    <w:rsid w:val="3C072D42"/>
    <w:rsid w:val="3C080473"/>
    <w:rsid w:val="3C0E0D68"/>
    <w:rsid w:val="3C170AEC"/>
    <w:rsid w:val="3C2032FA"/>
    <w:rsid w:val="3C2922BB"/>
    <w:rsid w:val="3C330DF2"/>
    <w:rsid w:val="3C340780"/>
    <w:rsid w:val="3C3F0D07"/>
    <w:rsid w:val="3C5C6EBC"/>
    <w:rsid w:val="3C724A13"/>
    <w:rsid w:val="3C7672D8"/>
    <w:rsid w:val="3C9005D0"/>
    <w:rsid w:val="3C9A0626"/>
    <w:rsid w:val="3CAC0EB4"/>
    <w:rsid w:val="3CAF42DB"/>
    <w:rsid w:val="3CB72E6E"/>
    <w:rsid w:val="3CB830D9"/>
    <w:rsid w:val="3CB94A0F"/>
    <w:rsid w:val="3CC03BEB"/>
    <w:rsid w:val="3CE76F58"/>
    <w:rsid w:val="3D01163A"/>
    <w:rsid w:val="3D065BB6"/>
    <w:rsid w:val="3D1327EE"/>
    <w:rsid w:val="3D144A75"/>
    <w:rsid w:val="3D1B5A73"/>
    <w:rsid w:val="3D2402AC"/>
    <w:rsid w:val="3D264FD7"/>
    <w:rsid w:val="3D283536"/>
    <w:rsid w:val="3D30791A"/>
    <w:rsid w:val="3D315926"/>
    <w:rsid w:val="3D3D5717"/>
    <w:rsid w:val="3D542E80"/>
    <w:rsid w:val="3D5E543D"/>
    <w:rsid w:val="3D61439B"/>
    <w:rsid w:val="3D6943BA"/>
    <w:rsid w:val="3D6D64F9"/>
    <w:rsid w:val="3D6F0B38"/>
    <w:rsid w:val="3D7C5A0E"/>
    <w:rsid w:val="3D892BE4"/>
    <w:rsid w:val="3D8D64FD"/>
    <w:rsid w:val="3D8E1F06"/>
    <w:rsid w:val="3D974E88"/>
    <w:rsid w:val="3DA85B15"/>
    <w:rsid w:val="3DAE2522"/>
    <w:rsid w:val="3DB6439E"/>
    <w:rsid w:val="3DC34949"/>
    <w:rsid w:val="3DD14305"/>
    <w:rsid w:val="3DE21AB2"/>
    <w:rsid w:val="3DF80425"/>
    <w:rsid w:val="3DFC7922"/>
    <w:rsid w:val="3E2465EB"/>
    <w:rsid w:val="3E2C2D09"/>
    <w:rsid w:val="3E3F3568"/>
    <w:rsid w:val="3E52068D"/>
    <w:rsid w:val="3E591EF4"/>
    <w:rsid w:val="3E70247E"/>
    <w:rsid w:val="3EA577A3"/>
    <w:rsid w:val="3EB76835"/>
    <w:rsid w:val="3EC044EC"/>
    <w:rsid w:val="3EC461AD"/>
    <w:rsid w:val="3ED16845"/>
    <w:rsid w:val="3EF937BE"/>
    <w:rsid w:val="3F042C76"/>
    <w:rsid w:val="3F0816FF"/>
    <w:rsid w:val="3F091E63"/>
    <w:rsid w:val="3F092594"/>
    <w:rsid w:val="3F161CE6"/>
    <w:rsid w:val="3F2573AD"/>
    <w:rsid w:val="3F26104D"/>
    <w:rsid w:val="3F2E315C"/>
    <w:rsid w:val="3F6A1061"/>
    <w:rsid w:val="3F863888"/>
    <w:rsid w:val="3F8A54BB"/>
    <w:rsid w:val="3F953FB9"/>
    <w:rsid w:val="3F957D18"/>
    <w:rsid w:val="3F96652E"/>
    <w:rsid w:val="3F9834CD"/>
    <w:rsid w:val="3FA81AE4"/>
    <w:rsid w:val="3FAA10E1"/>
    <w:rsid w:val="3FAC73AD"/>
    <w:rsid w:val="3FCB6130"/>
    <w:rsid w:val="3FCC2EEA"/>
    <w:rsid w:val="3FD2528E"/>
    <w:rsid w:val="3FDA4A01"/>
    <w:rsid w:val="3FF07590"/>
    <w:rsid w:val="3FFC51BC"/>
    <w:rsid w:val="3FFE21EF"/>
    <w:rsid w:val="400217C7"/>
    <w:rsid w:val="400E18C4"/>
    <w:rsid w:val="401079C8"/>
    <w:rsid w:val="401122CA"/>
    <w:rsid w:val="402E60CA"/>
    <w:rsid w:val="403A0BEC"/>
    <w:rsid w:val="403D59AA"/>
    <w:rsid w:val="40675916"/>
    <w:rsid w:val="408C5BF1"/>
    <w:rsid w:val="40932D02"/>
    <w:rsid w:val="40AA47D7"/>
    <w:rsid w:val="40BE3CAA"/>
    <w:rsid w:val="40C370DB"/>
    <w:rsid w:val="40D56BC3"/>
    <w:rsid w:val="40D733D3"/>
    <w:rsid w:val="40D92310"/>
    <w:rsid w:val="40D93BBF"/>
    <w:rsid w:val="40E57868"/>
    <w:rsid w:val="40E92A21"/>
    <w:rsid w:val="40E96C67"/>
    <w:rsid w:val="40ED43D9"/>
    <w:rsid w:val="40FE19F5"/>
    <w:rsid w:val="41090FA0"/>
    <w:rsid w:val="41112F1E"/>
    <w:rsid w:val="412239D3"/>
    <w:rsid w:val="4144718F"/>
    <w:rsid w:val="414D7D6C"/>
    <w:rsid w:val="41557E72"/>
    <w:rsid w:val="415A2970"/>
    <w:rsid w:val="41684B9B"/>
    <w:rsid w:val="417408AE"/>
    <w:rsid w:val="41795ACD"/>
    <w:rsid w:val="417C69CD"/>
    <w:rsid w:val="419E3C3D"/>
    <w:rsid w:val="419E4377"/>
    <w:rsid w:val="41A419B5"/>
    <w:rsid w:val="41A870A2"/>
    <w:rsid w:val="41B43777"/>
    <w:rsid w:val="41E073FB"/>
    <w:rsid w:val="41E5203A"/>
    <w:rsid w:val="41EE5B8E"/>
    <w:rsid w:val="420875D9"/>
    <w:rsid w:val="42184198"/>
    <w:rsid w:val="421F6185"/>
    <w:rsid w:val="42280CEB"/>
    <w:rsid w:val="423147A4"/>
    <w:rsid w:val="423B6D16"/>
    <w:rsid w:val="4242388F"/>
    <w:rsid w:val="42452F3A"/>
    <w:rsid w:val="42487B7B"/>
    <w:rsid w:val="425F607B"/>
    <w:rsid w:val="42711A36"/>
    <w:rsid w:val="42903A4B"/>
    <w:rsid w:val="429A4F25"/>
    <w:rsid w:val="429A5604"/>
    <w:rsid w:val="429F77F6"/>
    <w:rsid w:val="42A253A6"/>
    <w:rsid w:val="42A675AE"/>
    <w:rsid w:val="42AB75B8"/>
    <w:rsid w:val="42B92252"/>
    <w:rsid w:val="42B974E1"/>
    <w:rsid w:val="42C157C7"/>
    <w:rsid w:val="42E1391F"/>
    <w:rsid w:val="42E360B8"/>
    <w:rsid w:val="43032423"/>
    <w:rsid w:val="43143A55"/>
    <w:rsid w:val="431561E7"/>
    <w:rsid w:val="431D1894"/>
    <w:rsid w:val="431D6C1F"/>
    <w:rsid w:val="43214123"/>
    <w:rsid w:val="432A43EE"/>
    <w:rsid w:val="433851A8"/>
    <w:rsid w:val="43457927"/>
    <w:rsid w:val="4346284B"/>
    <w:rsid w:val="4355510E"/>
    <w:rsid w:val="436B1B99"/>
    <w:rsid w:val="436C7678"/>
    <w:rsid w:val="4370278E"/>
    <w:rsid w:val="43827D9E"/>
    <w:rsid w:val="43A17BF4"/>
    <w:rsid w:val="43A22F4E"/>
    <w:rsid w:val="43B1366B"/>
    <w:rsid w:val="43C52753"/>
    <w:rsid w:val="43CB331E"/>
    <w:rsid w:val="43D864F4"/>
    <w:rsid w:val="43DB3782"/>
    <w:rsid w:val="43E02136"/>
    <w:rsid w:val="44074CCD"/>
    <w:rsid w:val="440850E2"/>
    <w:rsid w:val="44181034"/>
    <w:rsid w:val="442709CD"/>
    <w:rsid w:val="444119C7"/>
    <w:rsid w:val="44501359"/>
    <w:rsid w:val="446A61A7"/>
    <w:rsid w:val="447B1D59"/>
    <w:rsid w:val="44892413"/>
    <w:rsid w:val="449544F6"/>
    <w:rsid w:val="44B35CC5"/>
    <w:rsid w:val="44D17EB0"/>
    <w:rsid w:val="44D7144B"/>
    <w:rsid w:val="44E21796"/>
    <w:rsid w:val="44EA5280"/>
    <w:rsid w:val="45002EF1"/>
    <w:rsid w:val="450348D1"/>
    <w:rsid w:val="4509294A"/>
    <w:rsid w:val="450A179F"/>
    <w:rsid w:val="45175808"/>
    <w:rsid w:val="45180FDB"/>
    <w:rsid w:val="451D0A59"/>
    <w:rsid w:val="452F6A07"/>
    <w:rsid w:val="45481CC9"/>
    <w:rsid w:val="45507A8C"/>
    <w:rsid w:val="45820032"/>
    <w:rsid w:val="458B2634"/>
    <w:rsid w:val="458E769D"/>
    <w:rsid w:val="45960D51"/>
    <w:rsid w:val="459A1AEA"/>
    <w:rsid w:val="459C7C75"/>
    <w:rsid w:val="45A11903"/>
    <w:rsid w:val="45B65138"/>
    <w:rsid w:val="45BB58B4"/>
    <w:rsid w:val="45CD1301"/>
    <w:rsid w:val="45CE2C9F"/>
    <w:rsid w:val="45D95373"/>
    <w:rsid w:val="45F216FC"/>
    <w:rsid w:val="45F709F7"/>
    <w:rsid w:val="45F77D88"/>
    <w:rsid w:val="46023CCB"/>
    <w:rsid w:val="46040834"/>
    <w:rsid w:val="46097980"/>
    <w:rsid w:val="46432981"/>
    <w:rsid w:val="464F79F7"/>
    <w:rsid w:val="465539E2"/>
    <w:rsid w:val="46600B92"/>
    <w:rsid w:val="467278CB"/>
    <w:rsid w:val="467402D4"/>
    <w:rsid w:val="46920E1B"/>
    <w:rsid w:val="46BD3CD3"/>
    <w:rsid w:val="46C063C8"/>
    <w:rsid w:val="46C46FFC"/>
    <w:rsid w:val="46C712B9"/>
    <w:rsid w:val="46D72F2E"/>
    <w:rsid w:val="46E51D1F"/>
    <w:rsid w:val="46E91755"/>
    <w:rsid w:val="46EE4315"/>
    <w:rsid w:val="46EF30E5"/>
    <w:rsid w:val="4714759F"/>
    <w:rsid w:val="47217B58"/>
    <w:rsid w:val="47316F4F"/>
    <w:rsid w:val="4751054F"/>
    <w:rsid w:val="475F753D"/>
    <w:rsid w:val="4781779F"/>
    <w:rsid w:val="479D75F9"/>
    <w:rsid w:val="47A24E7F"/>
    <w:rsid w:val="47BF382B"/>
    <w:rsid w:val="47C3117C"/>
    <w:rsid w:val="47D25659"/>
    <w:rsid w:val="47D83F8C"/>
    <w:rsid w:val="47E10C22"/>
    <w:rsid w:val="47EC4296"/>
    <w:rsid w:val="47F81E9C"/>
    <w:rsid w:val="47FA0255"/>
    <w:rsid w:val="47FA7950"/>
    <w:rsid w:val="47FB0C02"/>
    <w:rsid w:val="4810095A"/>
    <w:rsid w:val="48165608"/>
    <w:rsid w:val="481769DC"/>
    <w:rsid w:val="48222792"/>
    <w:rsid w:val="48267FA8"/>
    <w:rsid w:val="482858C2"/>
    <w:rsid w:val="484E3F61"/>
    <w:rsid w:val="48C92123"/>
    <w:rsid w:val="48D05D77"/>
    <w:rsid w:val="48D8178B"/>
    <w:rsid w:val="48DF6683"/>
    <w:rsid w:val="48F616D6"/>
    <w:rsid w:val="48F63E37"/>
    <w:rsid w:val="491273CE"/>
    <w:rsid w:val="491D7E81"/>
    <w:rsid w:val="49285189"/>
    <w:rsid w:val="49287B4B"/>
    <w:rsid w:val="492A5B33"/>
    <w:rsid w:val="493542D3"/>
    <w:rsid w:val="493A0C3F"/>
    <w:rsid w:val="49497D0E"/>
    <w:rsid w:val="494C3A31"/>
    <w:rsid w:val="49516A47"/>
    <w:rsid w:val="49554D9C"/>
    <w:rsid w:val="49582CC2"/>
    <w:rsid w:val="496147F6"/>
    <w:rsid w:val="49685190"/>
    <w:rsid w:val="496E381D"/>
    <w:rsid w:val="497C4FC9"/>
    <w:rsid w:val="49826570"/>
    <w:rsid w:val="49882669"/>
    <w:rsid w:val="49965729"/>
    <w:rsid w:val="49996FEF"/>
    <w:rsid w:val="499D2EB7"/>
    <w:rsid w:val="49AC0790"/>
    <w:rsid w:val="49C40DE0"/>
    <w:rsid w:val="49C572A9"/>
    <w:rsid w:val="49CB0E8A"/>
    <w:rsid w:val="49CF5372"/>
    <w:rsid w:val="49D33F30"/>
    <w:rsid w:val="49F2019C"/>
    <w:rsid w:val="49F51543"/>
    <w:rsid w:val="49F81BA6"/>
    <w:rsid w:val="49F924E4"/>
    <w:rsid w:val="4A0C5748"/>
    <w:rsid w:val="4A0D58C3"/>
    <w:rsid w:val="4A1A7D3E"/>
    <w:rsid w:val="4A1C3EFE"/>
    <w:rsid w:val="4A222410"/>
    <w:rsid w:val="4A246EE3"/>
    <w:rsid w:val="4A3C1D55"/>
    <w:rsid w:val="4A3F4384"/>
    <w:rsid w:val="4A402089"/>
    <w:rsid w:val="4A4B2AC7"/>
    <w:rsid w:val="4A6B0195"/>
    <w:rsid w:val="4A6C1503"/>
    <w:rsid w:val="4A6C78A9"/>
    <w:rsid w:val="4A7146D0"/>
    <w:rsid w:val="4A764DA8"/>
    <w:rsid w:val="4A771327"/>
    <w:rsid w:val="4A7725A9"/>
    <w:rsid w:val="4A7B5DF2"/>
    <w:rsid w:val="4A8907F5"/>
    <w:rsid w:val="4A8C0C54"/>
    <w:rsid w:val="4A947C13"/>
    <w:rsid w:val="4A9C34E8"/>
    <w:rsid w:val="4AA3515E"/>
    <w:rsid w:val="4AA902F8"/>
    <w:rsid w:val="4AB041A7"/>
    <w:rsid w:val="4AB4015E"/>
    <w:rsid w:val="4AB77666"/>
    <w:rsid w:val="4AC95BE9"/>
    <w:rsid w:val="4AD87363"/>
    <w:rsid w:val="4AE11AF6"/>
    <w:rsid w:val="4AF94909"/>
    <w:rsid w:val="4AFC67FA"/>
    <w:rsid w:val="4B1D7929"/>
    <w:rsid w:val="4B1F2752"/>
    <w:rsid w:val="4B1F73B8"/>
    <w:rsid w:val="4B2348EB"/>
    <w:rsid w:val="4B4A65F2"/>
    <w:rsid w:val="4B4C5037"/>
    <w:rsid w:val="4B594438"/>
    <w:rsid w:val="4B5C6F70"/>
    <w:rsid w:val="4B694BC7"/>
    <w:rsid w:val="4B6A585B"/>
    <w:rsid w:val="4B7A7D28"/>
    <w:rsid w:val="4B82258F"/>
    <w:rsid w:val="4B92083B"/>
    <w:rsid w:val="4B9E1959"/>
    <w:rsid w:val="4BA37CFE"/>
    <w:rsid w:val="4BAE2779"/>
    <w:rsid w:val="4BBA7666"/>
    <w:rsid w:val="4BBF6C06"/>
    <w:rsid w:val="4BC077F2"/>
    <w:rsid w:val="4BCA6554"/>
    <w:rsid w:val="4BF43847"/>
    <w:rsid w:val="4C064F6C"/>
    <w:rsid w:val="4C0C4D1D"/>
    <w:rsid w:val="4C1D7D54"/>
    <w:rsid w:val="4C23308C"/>
    <w:rsid w:val="4C2A188E"/>
    <w:rsid w:val="4C2F7890"/>
    <w:rsid w:val="4C3F746D"/>
    <w:rsid w:val="4C492C64"/>
    <w:rsid w:val="4C541888"/>
    <w:rsid w:val="4C5A45DA"/>
    <w:rsid w:val="4C62391D"/>
    <w:rsid w:val="4C831DA2"/>
    <w:rsid w:val="4C854DB6"/>
    <w:rsid w:val="4C872FDD"/>
    <w:rsid w:val="4C9217F7"/>
    <w:rsid w:val="4C970F0C"/>
    <w:rsid w:val="4CA37F84"/>
    <w:rsid w:val="4CB02E0F"/>
    <w:rsid w:val="4CB30B53"/>
    <w:rsid w:val="4CB3485F"/>
    <w:rsid w:val="4CB44E68"/>
    <w:rsid w:val="4CD327DF"/>
    <w:rsid w:val="4CD47911"/>
    <w:rsid w:val="4CD81FC2"/>
    <w:rsid w:val="4CDF105A"/>
    <w:rsid w:val="4CE240D0"/>
    <w:rsid w:val="4CE55A0A"/>
    <w:rsid w:val="4CF9083B"/>
    <w:rsid w:val="4D0E1828"/>
    <w:rsid w:val="4D14641A"/>
    <w:rsid w:val="4D220BC7"/>
    <w:rsid w:val="4D232A37"/>
    <w:rsid w:val="4D2F1A27"/>
    <w:rsid w:val="4D4F1CA8"/>
    <w:rsid w:val="4D5C7DCD"/>
    <w:rsid w:val="4D5E2488"/>
    <w:rsid w:val="4D732418"/>
    <w:rsid w:val="4D7861B7"/>
    <w:rsid w:val="4D795A3D"/>
    <w:rsid w:val="4D834022"/>
    <w:rsid w:val="4D915129"/>
    <w:rsid w:val="4D9F5663"/>
    <w:rsid w:val="4DA26A23"/>
    <w:rsid w:val="4DAA3CEF"/>
    <w:rsid w:val="4DCB1735"/>
    <w:rsid w:val="4DD5493C"/>
    <w:rsid w:val="4DDD087C"/>
    <w:rsid w:val="4DE34350"/>
    <w:rsid w:val="4DEA267E"/>
    <w:rsid w:val="4DEE0B90"/>
    <w:rsid w:val="4DF8101D"/>
    <w:rsid w:val="4E051581"/>
    <w:rsid w:val="4E0870C7"/>
    <w:rsid w:val="4E0F480C"/>
    <w:rsid w:val="4E135B01"/>
    <w:rsid w:val="4E167352"/>
    <w:rsid w:val="4E1F022E"/>
    <w:rsid w:val="4E22710A"/>
    <w:rsid w:val="4E231547"/>
    <w:rsid w:val="4E271F5B"/>
    <w:rsid w:val="4E2C0000"/>
    <w:rsid w:val="4E341080"/>
    <w:rsid w:val="4E3A1BF1"/>
    <w:rsid w:val="4E4E5405"/>
    <w:rsid w:val="4E66605E"/>
    <w:rsid w:val="4E735894"/>
    <w:rsid w:val="4E777094"/>
    <w:rsid w:val="4E7B6C71"/>
    <w:rsid w:val="4E7D2FD2"/>
    <w:rsid w:val="4E8779C3"/>
    <w:rsid w:val="4E9E44C9"/>
    <w:rsid w:val="4EAD15A1"/>
    <w:rsid w:val="4EB57392"/>
    <w:rsid w:val="4EB81DD3"/>
    <w:rsid w:val="4EC03ED6"/>
    <w:rsid w:val="4ED05051"/>
    <w:rsid w:val="4EDC41A6"/>
    <w:rsid w:val="4EDE1FA8"/>
    <w:rsid w:val="4F037620"/>
    <w:rsid w:val="4F0A3C1D"/>
    <w:rsid w:val="4F182206"/>
    <w:rsid w:val="4F203347"/>
    <w:rsid w:val="4F286A36"/>
    <w:rsid w:val="4F3277FD"/>
    <w:rsid w:val="4F3A1143"/>
    <w:rsid w:val="4F48483C"/>
    <w:rsid w:val="4F4A46F2"/>
    <w:rsid w:val="4F4A523F"/>
    <w:rsid w:val="4F560799"/>
    <w:rsid w:val="4F5A1021"/>
    <w:rsid w:val="4F5A5E31"/>
    <w:rsid w:val="4F6428B7"/>
    <w:rsid w:val="4F67548C"/>
    <w:rsid w:val="4F7817F4"/>
    <w:rsid w:val="4F8061A2"/>
    <w:rsid w:val="4F8061EB"/>
    <w:rsid w:val="4F87545A"/>
    <w:rsid w:val="4F8774EC"/>
    <w:rsid w:val="4F914F91"/>
    <w:rsid w:val="4FA92D60"/>
    <w:rsid w:val="4FAA404C"/>
    <w:rsid w:val="4FC10B2E"/>
    <w:rsid w:val="4FC92D06"/>
    <w:rsid w:val="4FCB4BA9"/>
    <w:rsid w:val="4FD15D12"/>
    <w:rsid w:val="4FD45876"/>
    <w:rsid w:val="4FD84F7A"/>
    <w:rsid w:val="4FE153BF"/>
    <w:rsid w:val="4FF37864"/>
    <w:rsid w:val="501147B1"/>
    <w:rsid w:val="50281BBC"/>
    <w:rsid w:val="50382B64"/>
    <w:rsid w:val="503A652B"/>
    <w:rsid w:val="50406C4E"/>
    <w:rsid w:val="5047071B"/>
    <w:rsid w:val="504D5219"/>
    <w:rsid w:val="504E765B"/>
    <w:rsid w:val="5054008B"/>
    <w:rsid w:val="506C724A"/>
    <w:rsid w:val="50712E7D"/>
    <w:rsid w:val="507854E7"/>
    <w:rsid w:val="50800C37"/>
    <w:rsid w:val="5099452C"/>
    <w:rsid w:val="50A84728"/>
    <w:rsid w:val="50B03786"/>
    <w:rsid w:val="50B550EE"/>
    <w:rsid w:val="50B772CF"/>
    <w:rsid w:val="50C539E6"/>
    <w:rsid w:val="50C76C88"/>
    <w:rsid w:val="50FA1C6F"/>
    <w:rsid w:val="51034AF1"/>
    <w:rsid w:val="510367E2"/>
    <w:rsid w:val="51180ADD"/>
    <w:rsid w:val="51203969"/>
    <w:rsid w:val="512A34D7"/>
    <w:rsid w:val="513F3FB1"/>
    <w:rsid w:val="5148513D"/>
    <w:rsid w:val="5148514E"/>
    <w:rsid w:val="51501627"/>
    <w:rsid w:val="51512E91"/>
    <w:rsid w:val="515A41CC"/>
    <w:rsid w:val="51841D4B"/>
    <w:rsid w:val="51947ADF"/>
    <w:rsid w:val="51950A77"/>
    <w:rsid w:val="51A372C8"/>
    <w:rsid w:val="51A446D0"/>
    <w:rsid w:val="51A61700"/>
    <w:rsid w:val="51AC55A0"/>
    <w:rsid w:val="51BA623F"/>
    <w:rsid w:val="51C7149A"/>
    <w:rsid w:val="51CB0EFC"/>
    <w:rsid w:val="51E17380"/>
    <w:rsid w:val="52040EFA"/>
    <w:rsid w:val="520A1188"/>
    <w:rsid w:val="520B488A"/>
    <w:rsid w:val="520F6979"/>
    <w:rsid w:val="52164133"/>
    <w:rsid w:val="5219030B"/>
    <w:rsid w:val="52197B57"/>
    <w:rsid w:val="52407ED7"/>
    <w:rsid w:val="5244400F"/>
    <w:rsid w:val="525E2913"/>
    <w:rsid w:val="526E3BC6"/>
    <w:rsid w:val="52731561"/>
    <w:rsid w:val="527B6692"/>
    <w:rsid w:val="528A4FE9"/>
    <w:rsid w:val="528C6886"/>
    <w:rsid w:val="528D07B4"/>
    <w:rsid w:val="529D16E1"/>
    <w:rsid w:val="52AC0B36"/>
    <w:rsid w:val="52B308AC"/>
    <w:rsid w:val="52BC2FAC"/>
    <w:rsid w:val="52CB3D19"/>
    <w:rsid w:val="52DE7E88"/>
    <w:rsid w:val="52DF1093"/>
    <w:rsid w:val="52E0015C"/>
    <w:rsid w:val="53053F78"/>
    <w:rsid w:val="53161BF9"/>
    <w:rsid w:val="531D3335"/>
    <w:rsid w:val="53223E77"/>
    <w:rsid w:val="53267959"/>
    <w:rsid w:val="532D3C8A"/>
    <w:rsid w:val="53312F71"/>
    <w:rsid w:val="53386E7F"/>
    <w:rsid w:val="533876C5"/>
    <w:rsid w:val="53935DEE"/>
    <w:rsid w:val="53975A53"/>
    <w:rsid w:val="53983E94"/>
    <w:rsid w:val="539D60FE"/>
    <w:rsid w:val="539F166A"/>
    <w:rsid w:val="53AF0B54"/>
    <w:rsid w:val="53C57AA6"/>
    <w:rsid w:val="53D31E4B"/>
    <w:rsid w:val="53D468B4"/>
    <w:rsid w:val="53FB460D"/>
    <w:rsid w:val="540522BD"/>
    <w:rsid w:val="540E003F"/>
    <w:rsid w:val="540F11BA"/>
    <w:rsid w:val="540F4E19"/>
    <w:rsid w:val="5413118B"/>
    <w:rsid w:val="54165FFC"/>
    <w:rsid w:val="542C4E8A"/>
    <w:rsid w:val="54372F09"/>
    <w:rsid w:val="54402155"/>
    <w:rsid w:val="544215B5"/>
    <w:rsid w:val="544D5AC8"/>
    <w:rsid w:val="546A4737"/>
    <w:rsid w:val="546B3330"/>
    <w:rsid w:val="5479370C"/>
    <w:rsid w:val="548A4860"/>
    <w:rsid w:val="548D6924"/>
    <w:rsid w:val="54956162"/>
    <w:rsid w:val="54985E76"/>
    <w:rsid w:val="54B449F0"/>
    <w:rsid w:val="54B83146"/>
    <w:rsid w:val="54B858B8"/>
    <w:rsid w:val="54BD32F8"/>
    <w:rsid w:val="54CF3C71"/>
    <w:rsid w:val="54D70317"/>
    <w:rsid w:val="54DC5BEB"/>
    <w:rsid w:val="54E871BE"/>
    <w:rsid w:val="550002E8"/>
    <w:rsid w:val="55052C80"/>
    <w:rsid w:val="551A3D6B"/>
    <w:rsid w:val="55215863"/>
    <w:rsid w:val="554009CE"/>
    <w:rsid w:val="5544679B"/>
    <w:rsid w:val="5550194F"/>
    <w:rsid w:val="55681436"/>
    <w:rsid w:val="556A6911"/>
    <w:rsid w:val="55730C79"/>
    <w:rsid w:val="55766653"/>
    <w:rsid w:val="55A65B6E"/>
    <w:rsid w:val="55CC1D62"/>
    <w:rsid w:val="55D57889"/>
    <w:rsid w:val="55D91F37"/>
    <w:rsid w:val="55DE75F9"/>
    <w:rsid w:val="55E21409"/>
    <w:rsid w:val="55EE4B7C"/>
    <w:rsid w:val="55EF1E0C"/>
    <w:rsid w:val="55F0171A"/>
    <w:rsid w:val="55F22EDF"/>
    <w:rsid w:val="55F91BFC"/>
    <w:rsid w:val="560011D2"/>
    <w:rsid w:val="5605511D"/>
    <w:rsid w:val="56065614"/>
    <w:rsid w:val="56286A31"/>
    <w:rsid w:val="562B15A0"/>
    <w:rsid w:val="56363D52"/>
    <w:rsid w:val="56624257"/>
    <w:rsid w:val="56671722"/>
    <w:rsid w:val="56683A8F"/>
    <w:rsid w:val="566A39A8"/>
    <w:rsid w:val="566D4B70"/>
    <w:rsid w:val="56794944"/>
    <w:rsid w:val="56867F4B"/>
    <w:rsid w:val="568A2BA0"/>
    <w:rsid w:val="569B1EC8"/>
    <w:rsid w:val="56A10050"/>
    <w:rsid w:val="56A625D1"/>
    <w:rsid w:val="56B52454"/>
    <w:rsid w:val="56B870B4"/>
    <w:rsid w:val="56BD3D42"/>
    <w:rsid w:val="56C20A01"/>
    <w:rsid w:val="56C5314A"/>
    <w:rsid w:val="56C93349"/>
    <w:rsid w:val="56D80FD2"/>
    <w:rsid w:val="56DD2A7E"/>
    <w:rsid w:val="56E5080C"/>
    <w:rsid w:val="56F5606B"/>
    <w:rsid w:val="56F7188B"/>
    <w:rsid w:val="57074811"/>
    <w:rsid w:val="571B0D7E"/>
    <w:rsid w:val="571E5C4F"/>
    <w:rsid w:val="5746030A"/>
    <w:rsid w:val="57692D91"/>
    <w:rsid w:val="578507C2"/>
    <w:rsid w:val="5792258B"/>
    <w:rsid w:val="57B03381"/>
    <w:rsid w:val="57B63C1C"/>
    <w:rsid w:val="57B92C75"/>
    <w:rsid w:val="57BC2A7B"/>
    <w:rsid w:val="57ED3EBA"/>
    <w:rsid w:val="58052126"/>
    <w:rsid w:val="580948F7"/>
    <w:rsid w:val="580C5708"/>
    <w:rsid w:val="581460F9"/>
    <w:rsid w:val="58450E2F"/>
    <w:rsid w:val="58470B02"/>
    <w:rsid w:val="58502299"/>
    <w:rsid w:val="585124D1"/>
    <w:rsid w:val="585732B5"/>
    <w:rsid w:val="58606E6D"/>
    <w:rsid w:val="58655336"/>
    <w:rsid w:val="586B613A"/>
    <w:rsid w:val="586E6120"/>
    <w:rsid w:val="58811EAC"/>
    <w:rsid w:val="588A2389"/>
    <w:rsid w:val="588C0DAD"/>
    <w:rsid w:val="58935CC6"/>
    <w:rsid w:val="58AE35C7"/>
    <w:rsid w:val="58B85E55"/>
    <w:rsid w:val="58BB1D36"/>
    <w:rsid w:val="58CE7553"/>
    <w:rsid w:val="58D661AE"/>
    <w:rsid w:val="58DC224D"/>
    <w:rsid w:val="59036B20"/>
    <w:rsid w:val="590D29AA"/>
    <w:rsid w:val="59384AE0"/>
    <w:rsid w:val="594C67F9"/>
    <w:rsid w:val="59574F5C"/>
    <w:rsid w:val="5960499A"/>
    <w:rsid w:val="596167A9"/>
    <w:rsid w:val="596D47E5"/>
    <w:rsid w:val="59782573"/>
    <w:rsid w:val="59823505"/>
    <w:rsid w:val="598D5C5F"/>
    <w:rsid w:val="5999548B"/>
    <w:rsid w:val="59A80384"/>
    <w:rsid w:val="59B52F07"/>
    <w:rsid w:val="59B73963"/>
    <w:rsid w:val="59BD22BF"/>
    <w:rsid w:val="59DC5195"/>
    <w:rsid w:val="59E5417D"/>
    <w:rsid w:val="59FF1686"/>
    <w:rsid w:val="5A105B2A"/>
    <w:rsid w:val="5A153346"/>
    <w:rsid w:val="5A2812B2"/>
    <w:rsid w:val="5A382FC2"/>
    <w:rsid w:val="5A3E1C3A"/>
    <w:rsid w:val="5A4305DC"/>
    <w:rsid w:val="5A4C54C7"/>
    <w:rsid w:val="5A4D2FD7"/>
    <w:rsid w:val="5A5247DD"/>
    <w:rsid w:val="5A656E55"/>
    <w:rsid w:val="5A6E2D76"/>
    <w:rsid w:val="5A7275A5"/>
    <w:rsid w:val="5A7D3D5D"/>
    <w:rsid w:val="5A7F348A"/>
    <w:rsid w:val="5A803810"/>
    <w:rsid w:val="5A915C6E"/>
    <w:rsid w:val="5A9443EB"/>
    <w:rsid w:val="5A9D0A07"/>
    <w:rsid w:val="5A9F262A"/>
    <w:rsid w:val="5AB6011D"/>
    <w:rsid w:val="5AD262DB"/>
    <w:rsid w:val="5AE36E97"/>
    <w:rsid w:val="5AEA67BC"/>
    <w:rsid w:val="5B025CCC"/>
    <w:rsid w:val="5B044123"/>
    <w:rsid w:val="5B191FC3"/>
    <w:rsid w:val="5B484A84"/>
    <w:rsid w:val="5B495B67"/>
    <w:rsid w:val="5B4A4B49"/>
    <w:rsid w:val="5B4C69BC"/>
    <w:rsid w:val="5B536E99"/>
    <w:rsid w:val="5B6D4B71"/>
    <w:rsid w:val="5B851CF9"/>
    <w:rsid w:val="5BB827C6"/>
    <w:rsid w:val="5BD13B04"/>
    <w:rsid w:val="5BDB2F12"/>
    <w:rsid w:val="5BE346BB"/>
    <w:rsid w:val="5BF56CB9"/>
    <w:rsid w:val="5C082FFA"/>
    <w:rsid w:val="5C0D4046"/>
    <w:rsid w:val="5C142737"/>
    <w:rsid w:val="5C166C93"/>
    <w:rsid w:val="5C1F78D2"/>
    <w:rsid w:val="5C3E6F2F"/>
    <w:rsid w:val="5C3F4617"/>
    <w:rsid w:val="5C417ED9"/>
    <w:rsid w:val="5C735451"/>
    <w:rsid w:val="5C7E16A7"/>
    <w:rsid w:val="5C9177B4"/>
    <w:rsid w:val="5C9466C1"/>
    <w:rsid w:val="5C9C1964"/>
    <w:rsid w:val="5CA869DD"/>
    <w:rsid w:val="5CA93148"/>
    <w:rsid w:val="5CAA551E"/>
    <w:rsid w:val="5CAF12D1"/>
    <w:rsid w:val="5CB80335"/>
    <w:rsid w:val="5CB93021"/>
    <w:rsid w:val="5CD34CCD"/>
    <w:rsid w:val="5CE007EE"/>
    <w:rsid w:val="5CE473DE"/>
    <w:rsid w:val="5D0E42FD"/>
    <w:rsid w:val="5D28454A"/>
    <w:rsid w:val="5D2A5142"/>
    <w:rsid w:val="5D2D07D1"/>
    <w:rsid w:val="5D2F0BB2"/>
    <w:rsid w:val="5D48500B"/>
    <w:rsid w:val="5D622776"/>
    <w:rsid w:val="5D7569DF"/>
    <w:rsid w:val="5D7E31A3"/>
    <w:rsid w:val="5D901C8A"/>
    <w:rsid w:val="5D9457B0"/>
    <w:rsid w:val="5DA31795"/>
    <w:rsid w:val="5DA965B8"/>
    <w:rsid w:val="5DAD2F76"/>
    <w:rsid w:val="5DB50D0B"/>
    <w:rsid w:val="5DBD3E80"/>
    <w:rsid w:val="5DC60E5E"/>
    <w:rsid w:val="5DC862CE"/>
    <w:rsid w:val="5DDE594A"/>
    <w:rsid w:val="5DEC5B1A"/>
    <w:rsid w:val="5DFA5F43"/>
    <w:rsid w:val="5E1832E6"/>
    <w:rsid w:val="5E190438"/>
    <w:rsid w:val="5E2840A6"/>
    <w:rsid w:val="5E51364E"/>
    <w:rsid w:val="5E555E95"/>
    <w:rsid w:val="5E5B04A0"/>
    <w:rsid w:val="5E69221D"/>
    <w:rsid w:val="5E6978F7"/>
    <w:rsid w:val="5E6D440F"/>
    <w:rsid w:val="5E8702F9"/>
    <w:rsid w:val="5E8D6E91"/>
    <w:rsid w:val="5E966FE9"/>
    <w:rsid w:val="5E967FF9"/>
    <w:rsid w:val="5EAC41AF"/>
    <w:rsid w:val="5EBF341B"/>
    <w:rsid w:val="5EC24C2C"/>
    <w:rsid w:val="5EC568E5"/>
    <w:rsid w:val="5EC70991"/>
    <w:rsid w:val="5ECF4DA3"/>
    <w:rsid w:val="5EE14AD5"/>
    <w:rsid w:val="5EE96DB9"/>
    <w:rsid w:val="5EFF3D82"/>
    <w:rsid w:val="5F071754"/>
    <w:rsid w:val="5F0D77C4"/>
    <w:rsid w:val="5F151F71"/>
    <w:rsid w:val="5F1D01AA"/>
    <w:rsid w:val="5F310407"/>
    <w:rsid w:val="5F357EE5"/>
    <w:rsid w:val="5F41394B"/>
    <w:rsid w:val="5F502D14"/>
    <w:rsid w:val="5F505CBC"/>
    <w:rsid w:val="5F547D08"/>
    <w:rsid w:val="5F5830B5"/>
    <w:rsid w:val="5F5B6327"/>
    <w:rsid w:val="5F633DAC"/>
    <w:rsid w:val="5F6D6045"/>
    <w:rsid w:val="5F6E39EE"/>
    <w:rsid w:val="5F7A770B"/>
    <w:rsid w:val="5F7B637E"/>
    <w:rsid w:val="5F8405D0"/>
    <w:rsid w:val="5F93598A"/>
    <w:rsid w:val="5FAA2406"/>
    <w:rsid w:val="5FB437F2"/>
    <w:rsid w:val="5FC138FE"/>
    <w:rsid w:val="5FC750DA"/>
    <w:rsid w:val="5FD369DA"/>
    <w:rsid w:val="5FD93CBF"/>
    <w:rsid w:val="5FDF37A0"/>
    <w:rsid w:val="5FE72CFF"/>
    <w:rsid w:val="5FF3319E"/>
    <w:rsid w:val="5FF56434"/>
    <w:rsid w:val="5FF92B2F"/>
    <w:rsid w:val="60043023"/>
    <w:rsid w:val="601C3751"/>
    <w:rsid w:val="603A5F0E"/>
    <w:rsid w:val="603B2F5E"/>
    <w:rsid w:val="603F2935"/>
    <w:rsid w:val="60430AD1"/>
    <w:rsid w:val="604A1D14"/>
    <w:rsid w:val="604C61BF"/>
    <w:rsid w:val="60557ED5"/>
    <w:rsid w:val="605B23C0"/>
    <w:rsid w:val="605C041F"/>
    <w:rsid w:val="606A1575"/>
    <w:rsid w:val="606E2538"/>
    <w:rsid w:val="607A4069"/>
    <w:rsid w:val="60961E8B"/>
    <w:rsid w:val="60B94AEE"/>
    <w:rsid w:val="60CF4E15"/>
    <w:rsid w:val="60CF7A10"/>
    <w:rsid w:val="60D051C5"/>
    <w:rsid w:val="60E36680"/>
    <w:rsid w:val="60E40FD6"/>
    <w:rsid w:val="60E50D54"/>
    <w:rsid w:val="60E514DC"/>
    <w:rsid w:val="610B51F1"/>
    <w:rsid w:val="610C7DFA"/>
    <w:rsid w:val="613321FB"/>
    <w:rsid w:val="6135139D"/>
    <w:rsid w:val="614419B9"/>
    <w:rsid w:val="614B2DF5"/>
    <w:rsid w:val="61555BE9"/>
    <w:rsid w:val="61606B8C"/>
    <w:rsid w:val="616E5CA5"/>
    <w:rsid w:val="616E67F0"/>
    <w:rsid w:val="617E3627"/>
    <w:rsid w:val="61987F1E"/>
    <w:rsid w:val="61995EFC"/>
    <w:rsid w:val="619E3B8E"/>
    <w:rsid w:val="61A81EC0"/>
    <w:rsid w:val="61B37B83"/>
    <w:rsid w:val="61B55159"/>
    <w:rsid w:val="61BB08ED"/>
    <w:rsid w:val="61BC73E8"/>
    <w:rsid w:val="61CC33DF"/>
    <w:rsid w:val="61D07D79"/>
    <w:rsid w:val="61E23AA1"/>
    <w:rsid w:val="61E24D47"/>
    <w:rsid w:val="6203579F"/>
    <w:rsid w:val="62134856"/>
    <w:rsid w:val="62141D6B"/>
    <w:rsid w:val="621B0394"/>
    <w:rsid w:val="621D02CA"/>
    <w:rsid w:val="621E0882"/>
    <w:rsid w:val="6220303A"/>
    <w:rsid w:val="62252F02"/>
    <w:rsid w:val="62275FA4"/>
    <w:rsid w:val="622C3393"/>
    <w:rsid w:val="622F4118"/>
    <w:rsid w:val="623852AF"/>
    <w:rsid w:val="623A5E2B"/>
    <w:rsid w:val="62435410"/>
    <w:rsid w:val="62631C42"/>
    <w:rsid w:val="626E6101"/>
    <w:rsid w:val="62713494"/>
    <w:rsid w:val="62782232"/>
    <w:rsid w:val="62906F9D"/>
    <w:rsid w:val="62BD26A4"/>
    <w:rsid w:val="62C60C7F"/>
    <w:rsid w:val="62CA6608"/>
    <w:rsid w:val="62D71083"/>
    <w:rsid w:val="62E26437"/>
    <w:rsid w:val="62EA5655"/>
    <w:rsid w:val="62F77533"/>
    <w:rsid w:val="62FF3E27"/>
    <w:rsid w:val="630A7494"/>
    <w:rsid w:val="630D0DA0"/>
    <w:rsid w:val="63153618"/>
    <w:rsid w:val="6319355A"/>
    <w:rsid w:val="632D1D23"/>
    <w:rsid w:val="632D788A"/>
    <w:rsid w:val="633B42F9"/>
    <w:rsid w:val="63520473"/>
    <w:rsid w:val="635F3D0D"/>
    <w:rsid w:val="63660F34"/>
    <w:rsid w:val="636702B2"/>
    <w:rsid w:val="6369157C"/>
    <w:rsid w:val="63756776"/>
    <w:rsid w:val="63923C8B"/>
    <w:rsid w:val="63946AB0"/>
    <w:rsid w:val="63D063DB"/>
    <w:rsid w:val="63D55618"/>
    <w:rsid w:val="63E74ECF"/>
    <w:rsid w:val="63E811F4"/>
    <w:rsid w:val="64075476"/>
    <w:rsid w:val="643A4763"/>
    <w:rsid w:val="644D308A"/>
    <w:rsid w:val="64524547"/>
    <w:rsid w:val="6454700A"/>
    <w:rsid w:val="64585059"/>
    <w:rsid w:val="6480330B"/>
    <w:rsid w:val="64A5034F"/>
    <w:rsid w:val="64BE0110"/>
    <w:rsid w:val="64C01C5C"/>
    <w:rsid w:val="64C87C35"/>
    <w:rsid w:val="64CC6E06"/>
    <w:rsid w:val="64E91ECD"/>
    <w:rsid w:val="64EE7534"/>
    <w:rsid w:val="650122BF"/>
    <w:rsid w:val="65283F43"/>
    <w:rsid w:val="652F3703"/>
    <w:rsid w:val="653D7E82"/>
    <w:rsid w:val="655E5F4F"/>
    <w:rsid w:val="656322A3"/>
    <w:rsid w:val="65647129"/>
    <w:rsid w:val="656B2588"/>
    <w:rsid w:val="65742632"/>
    <w:rsid w:val="65762D3B"/>
    <w:rsid w:val="657973E2"/>
    <w:rsid w:val="658A32C3"/>
    <w:rsid w:val="65942A84"/>
    <w:rsid w:val="659B11C4"/>
    <w:rsid w:val="659B436D"/>
    <w:rsid w:val="659D53E6"/>
    <w:rsid w:val="65B60970"/>
    <w:rsid w:val="65C14256"/>
    <w:rsid w:val="65D01AED"/>
    <w:rsid w:val="65D04F54"/>
    <w:rsid w:val="65D326B6"/>
    <w:rsid w:val="65D95441"/>
    <w:rsid w:val="65E507F1"/>
    <w:rsid w:val="65FB44FE"/>
    <w:rsid w:val="65FE0883"/>
    <w:rsid w:val="66016D55"/>
    <w:rsid w:val="66123564"/>
    <w:rsid w:val="661624D5"/>
    <w:rsid w:val="661E3D9F"/>
    <w:rsid w:val="6620608E"/>
    <w:rsid w:val="662A2E2C"/>
    <w:rsid w:val="66331C7F"/>
    <w:rsid w:val="66375F2C"/>
    <w:rsid w:val="66400DA9"/>
    <w:rsid w:val="66497AF5"/>
    <w:rsid w:val="665563AC"/>
    <w:rsid w:val="66610C62"/>
    <w:rsid w:val="666E415E"/>
    <w:rsid w:val="66702FB9"/>
    <w:rsid w:val="66763564"/>
    <w:rsid w:val="66845565"/>
    <w:rsid w:val="668D3793"/>
    <w:rsid w:val="668F1D51"/>
    <w:rsid w:val="66903D06"/>
    <w:rsid w:val="66943930"/>
    <w:rsid w:val="669F23A5"/>
    <w:rsid w:val="66A00DA1"/>
    <w:rsid w:val="66A20B4C"/>
    <w:rsid w:val="66A8529E"/>
    <w:rsid w:val="66B541B0"/>
    <w:rsid w:val="66BC739E"/>
    <w:rsid w:val="66C630A5"/>
    <w:rsid w:val="66C929A4"/>
    <w:rsid w:val="66CC777E"/>
    <w:rsid w:val="66D26E18"/>
    <w:rsid w:val="66D5217E"/>
    <w:rsid w:val="66EC3247"/>
    <w:rsid w:val="66F974EF"/>
    <w:rsid w:val="66F97D1E"/>
    <w:rsid w:val="66FD2B9A"/>
    <w:rsid w:val="67021523"/>
    <w:rsid w:val="67171060"/>
    <w:rsid w:val="671C1FF8"/>
    <w:rsid w:val="671F5622"/>
    <w:rsid w:val="67234F5C"/>
    <w:rsid w:val="672F4215"/>
    <w:rsid w:val="67324D08"/>
    <w:rsid w:val="67377810"/>
    <w:rsid w:val="67515301"/>
    <w:rsid w:val="67643391"/>
    <w:rsid w:val="67656A67"/>
    <w:rsid w:val="676804EC"/>
    <w:rsid w:val="67753D4E"/>
    <w:rsid w:val="677A7333"/>
    <w:rsid w:val="67891347"/>
    <w:rsid w:val="679273C1"/>
    <w:rsid w:val="67953D74"/>
    <w:rsid w:val="679A170C"/>
    <w:rsid w:val="67AF67E2"/>
    <w:rsid w:val="67B505E6"/>
    <w:rsid w:val="67CB5B3A"/>
    <w:rsid w:val="67CB5B62"/>
    <w:rsid w:val="67CE1332"/>
    <w:rsid w:val="67D641EC"/>
    <w:rsid w:val="67ED2366"/>
    <w:rsid w:val="67F73CCF"/>
    <w:rsid w:val="68056A2C"/>
    <w:rsid w:val="68063B06"/>
    <w:rsid w:val="681025BC"/>
    <w:rsid w:val="6814118C"/>
    <w:rsid w:val="681F3DC9"/>
    <w:rsid w:val="68206502"/>
    <w:rsid w:val="682069A2"/>
    <w:rsid w:val="68276F4B"/>
    <w:rsid w:val="6846666C"/>
    <w:rsid w:val="684758D4"/>
    <w:rsid w:val="68497036"/>
    <w:rsid w:val="685D672A"/>
    <w:rsid w:val="685E2BBC"/>
    <w:rsid w:val="6874763D"/>
    <w:rsid w:val="688563B4"/>
    <w:rsid w:val="68A35EB2"/>
    <w:rsid w:val="68AC3F0E"/>
    <w:rsid w:val="68B8484A"/>
    <w:rsid w:val="68C064D3"/>
    <w:rsid w:val="68CC67A7"/>
    <w:rsid w:val="68D64056"/>
    <w:rsid w:val="68F30759"/>
    <w:rsid w:val="68FF02E2"/>
    <w:rsid w:val="69024BE2"/>
    <w:rsid w:val="69074AB0"/>
    <w:rsid w:val="69272880"/>
    <w:rsid w:val="692E2260"/>
    <w:rsid w:val="693D28BD"/>
    <w:rsid w:val="69450A80"/>
    <w:rsid w:val="69661034"/>
    <w:rsid w:val="696E08A1"/>
    <w:rsid w:val="697179A9"/>
    <w:rsid w:val="69893F09"/>
    <w:rsid w:val="69B376C3"/>
    <w:rsid w:val="69D35227"/>
    <w:rsid w:val="69E256E3"/>
    <w:rsid w:val="69E968AE"/>
    <w:rsid w:val="6A0732C8"/>
    <w:rsid w:val="6A0D69DE"/>
    <w:rsid w:val="6A107995"/>
    <w:rsid w:val="6A153E7F"/>
    <w:rsid w:val="6A210F8B"/>
    <w:rsid w:val="6A421B2E"/>
    <w:rsid w:val="6A5C26EA"/>
    <w:rsid w:val="6A5F6051"/>
    <w:rsid w:val="6A6402E5"/>
    <w:rsid w:val="6A641197"/>
    <w:rsid w:val="6A7850B0"/>
    <w:rsid w:val="6A8770E2"/>
    <w:rsid w:val="6A9745D6"/>
    <w:rsid w:val="6AA4089E"/>
    <w:rsid w:val="6ABF77D1"/>
    <w:rsid w:val="6ACB17DD"/>
    <w:rsid w:val="6AD71A9D"/>
    <w:rsid w:val="6ADC7F3C"/>
    <w:rsid w:val="6ADD1F16"/>
    <w:rsid w:val="6ADE7CAA"/>
    <w:rsid w:val="6AE169BC"/>
    <w:rsid w:val="6AEF19F6"/>
    <w:rsid w:val="6AFE5980"/>
    <w:rsid w:val="6B0F17CA"/>
    <w:rsid w:val="6B1B7C9D"/>
    <w:rsid w:val="6B237B97"/>
    <w:rsid w:val="6B373EA3"/>
    <w:rsid w:val="6B4255BA"/>
    <w:rsid w:val="6B431F8E"/>
    <w:rsid w:val="6B44423C"/>
    <w:rsid w:val="6B501868"/>
    <w:rsid w:val="6B5858CE"/>
    <w:rsid w:val="6B687916"/>
    <w:rsid w:val="6B6D14A4"/>
    <w:rsid w:val="6B7345B2"/>
    <w:rsid w:val="6B890D1C"/>
    <w:rsid w:val="6B9413A2"/>
    <w:rsid w:val="6B9A7E81"/>
    <w:rsid w:val="6BAA747E"/>
    <w:rsid w:val="6BAF7F1D"/>
    <w:rsid w:val="6BB275A1"/>
    <w:rsid w:val="6BC05D41"/>
    <w:rsid w:val="6BCF43DB"/>
    <w:rsid w:val="6BEB52F4"/>
    <w:rsid w:val="6BFE3E44"/>
    <w:rsid w:val="6C002A08"/>
    <w:rsid w:val="6C112AB4"/>
    <w:rsid w:val="6C22277A"/>
    <w:rsid w:val="6C254A96"/>
    <w:rsid w:val="6C3A518A"/>
    <w:rsid w:val="6C534AC4"/>
    <w:rsid w:val="6C5E6F6E"/>
    <w:rsid w:val="6C673E0B"/>
    <w:rsid w:val="6C6B6FB5"/>
    <w:rsid w:val="6C7A6044"/>
    <w:rsid w:val="6C8E0619"/>
    <w:rsid w:val="6C975ACD"/>
    <w:rsid w:val="6CA46BEF"/>
    <w:rsid w:val="6CA53382"/>
    <w:rsid w:val="6CAE1206"/>
    <w:rsid w:val="6CBA22AA"/>
    <w:rsid w:val="6CD30C41"/>
    <w:rsid w:val="6CF344E3"/>
    <w:rsid w:val="6CFC41EF"/>
    <w:rsid w:val="6CFD1D7C"/>
    <w:rsid w:val="6D061525"/>
    <w:rsid w:val="6D260631"/>
    <w:rsid w:val="6D2A41F3"/>
    <w:rsid w:val="6D2B5B4F"/>
    <w:rsid w:val="6D3515EB"/>
    <w:rsid w:val="6D362F88"/>
    <w:rsid w:val="6D380F5D"/>
    <w:rsid w:val="6D3A26B0"/>
    <w:rsid w:val="6D3C5738"/>
    <w:rsid w:val="6D3D35C9"/>
    <w:rsid w:val="6D504144"/>
    <w:rsid w:val="6D5B7F9E"/>
    <w:rsid w:val="6D745CA1"/>
    <w:rsid w:val="6D822970"/>
    <w:rsid w:val="6D826A54"/>
    <w:rsid w:val="6D8E5E49"/>
    <w:rsid w:val="6D942E61"/>
    <w:rsid w:val="6D9E6084"/>
    <w:rsid w:val="6DAD2588"/>
    <w:rsid w:val="6DAD60AD"/>
    <w:rsid w:val="6DB30490"/>
    <w:rsid w:val="6DB403CB"/>
    <w:rsid w:val="6DB75501"/>
    <w:rsid w:val="6DB82083"/>
    <w:rsid w:val="6DC16724"/>
    <w:rsid w:val="6DCA6F11"/>
    <w:rsid w:val="6DD17A8F"/>
    <w:rsid w:val="6DD25B3D"/>
    <w:rsid w:val="6DDC7589"/>
    <w:rsid w:val="6DE51B52"/>
    <w:rsid w:val="6DEC0652"/>
    <w:rsid w:val="6DFB36B6"/>
    <w:rsid w:val="6E136BE6"/>
    <w:rsid w:val="6E2453C4"/>
    <w:rsid w:val="6E2541E1"/>
    <w:rsid w:val="6E273673"/>
    <w:rsid w:val="6E3275E6"/>
    <w:rsid w:val="6E38764F"/>
    <w:rsid w:val="6E395A5C"/>
    <w:rsid w:val="6E3E6F75"/>
    <w:rsid w:val="6E3F04AA"/>
    <w:rsid w:val="6E591AD5"/>
    <w:rsid w:val="6E5D022A"/>
    <w:rsid w:val="6E625D6B"/>
    <w:rsid w:val="6E6F26F8"/>
    <w:rsid w:val="6E7D1BE4"/>
    <w:rsid w:val="6E7D7931"/>
    <w:rsid w:val="6E821F94"/>
    <w:rsid w:val="6E8334AC"/>
    <w:rsid w:val="6E835850"/>
    <w:rsid w:val="6E8C5111"/>
    <w:rsid w:val="6E992116"/>
    <w:rsid w:val="6E9E7643"/>
    <w:rsid w:val="6EA165C3"/>
    <w:rsid w:val="6EA752D7"/>
    <w:rsid w:val="6ECA10F8"/>
    <w:rsid w:val="6ED26265"/>
    <w:rsid w:val="6EDE3B26"/>
    <w:rsid w:val="6EE4502B"/>
    <w:rsid w:val="6EE53AC3"/>
    <w:rsid w:val="6EE53D40"/>
    <w:rsid w:val="6EE73010"/>
    <w:rsid w:val="6EF22E84"/>
    <w:rsid w:val="6EF85CA2"/>
    <w:rsid w:val="6EFE203B"/>
    <w:rsid w:val="6F09588B"/>
    <w:rsid w:val="6F224965"/>
    <w:rsid w:val="6F2D3975"/>
    <w:rsid w:val="6F461BA3"/>
    <w:rsid w:val="6F551E16"/>
    <w:rsid w:val="6F57529A"/>
    <w:rsid w:val="6F5B6A2D"/>
    <w:rsid w:val="6F6B24E3"/>
    <w:rsid w:val="6F6C6C9D"/>
    <w:rsid w:val="6F765D62"/>
    <w:rsid w:val="6F876733"/>
    <w:rsid w:val="6F945465"/>
    <w:rsid w:val="6F9C3AE9"/>
    <w:rsid w:val="6F9F7DDC"/>
    <w:rsid w:val="6FB24F1D"/>
    <w:rsid w:val="6FBB3755"/>
    <w:rsid w:val="6FC61490"/>
    <w:rsid w:val="6FD03E30"/>
    <w:rsid w:val="6FEE5C2F"/>
    <w:rsid w:val="700557D1"/>
    <w:rsid w:val="70080E25"/>
    <w:rsid w:val="700B0D68"/>
    <w:rsid w:val="700C2DEE"/>
    <w:rsid w:val="700F5F60"/>
    <w:rsid w:val="7011581D"/>
    <w:rsid w:val="701220C1"/>
    <w:rsid w:val="701734C8"/>
    <w:rsid w:val="70284D6C"/>
    <w:rsid w:val="703E44AE"/>
    <w:rsid w:val="70470683"/>
    <w:rsid w:val="704A0E4E"/>
    <w:rsid w:val="704F7966"/>
    <w:rsid w:val="70512172"/>
    <w:rsid w:val="705E16D9"/>
    <w:rsid w:val="70682F6B"/>
    <w:rsid w:val="707919DD"/>
    <w:rsid w:val="707B3691"/>
    <w:rsid w:val="70926F3B"/>
    <w:rsid w:val="709B446F"/>
    <w:rsid w:val="70A455FF"/>
    <w:rsid w:val="70A67482"/>
    <w:rsid w:val="70A82D6B"/>
    <w:rsid w:val="70C07708"/>
    <w:rsid w:val="70C131B2"/>
    <w:rsid w:val="70D33826"/>
    <w:rsid w:val="70D74950"/>
    <w:rsid w:val="70E12BC9"/>
    <w:rsid w:val="70F345DB"/>
    <w:rsid w:val="711B0A1E"/>
    <w:rsid w:val="711C5449"/>
    <w:rsid w:val="712F49EC"/>
    <w:rsid w:val="71473042"/>
    <w:rsid w:val="71514B4D"/>
    <w:rsid w:val="716471A2"/>
    <w:rsid w:val="716B1021"/>
    <w:rsid w:val="716D2539"/>
    <w:rsid w:val="71715008"/>
    <w:rsid w:val="717A2BD1"/>
    <w:rsid w:val="71867FE1"/>
    <w:rsid w:val="718A1E2D"/>
    <w:rsid w:val="71955EB0"/>
    <w:rsid w:val="71975FFF"/>
    <w:rsid w:val="719F7E90"/>
    <w:rsid w:val="71AA5515"/>
    <w:rsid w:val="71AC7CF9"/>
    <w:rsid w:val="71C0712F"/>
    <w:rsid w:val="71CE03CA"/>
    <w:rsid w:val="71DA329A"/>
    <w:rsid w:val="71DB2628"/>
    <w:rsid w:val="71EC06BA"/>
    <w:rsid w:val="71F2407F"/>
    <w:rsid w:val="720608A1"/>
    <w:rsid w:val="720E0560"/>
    <w:rsid w:val="72153636"/>
    <w:rsid w:val="72331268"/>
    <w:rsid w:val="723E59D9"/>
    <w:rsid w:val="724345B3"/>
    <w:rsid w:val="72501128"/>
    <w:rsid w:val="725162E7"/>
    <w:rsid w:val="725767B7"/>
    <w:rsid w:val="725B21A6"/>
    <w:rsid w:val="72731F67"/>
    <w:rsid w:val="727F1566"/>
    <w:rsid w:val="72814723"/>
    <w:rsid w:val="729975A4"/>
    <w:rsid w:val="729D0C71"/>
    <w:rsid w:val="72AB5AB2"/>
    <w:rsid w:val="72B1133D"/>
    <w:rsid w:val="72B42CDC"/>
    <w:rsid w:val="72B82951"/>
    <w:rsid w:val="72BE219B"/>
    <w:rsid w:val="72C25282"/>
    <w:rsid w:val="72C960D6"/>
    <w:rsid w:val="72D66AFD"/>
    <w:rsid w:val="72E73A82"/>
    <w:rsid w:val="72EF168A"/>
    <w:rsid w:val="7301301A"/>
    <w:rsid w:val="730552F4"/>
    <w:rsid w:val="731D2679"/>
    <w:rsid w:val="73214712"/>
    <w:rsid w:val="73274521"/>
    <w:rsid w:val="73482707"/>
    <w:rsid w:val="734D04AC"/>
    <w:rsid w:val="736B2327"/>
    <w:rsid w:val="73720B91"/>
    <w:rsid w:val="737E4B80"/>
    <w:rsid w:val="73886298"/>
    <w:rsid w:val="739B17B4"/>
    <w:rsid w:val="739E17D8"/>
    <w:rsid w:val="73AA4E92"/>
    <w:rsid w:val="73B11D0C"/>
    <w:rsid w:val="73B63B89"/>
    <w:rsid w:val="73C1202A"/>
    <w:rsid w:val="73C43983"/>
    <w:rsid w:val="73C67E3C"/>
    <w:rsid w:val="73DC5C54"/>
    <w:rsid w:val="73DF60CE"/>
    <w:rsid w:val="73E5457B"/>
    <w:rsid w:val="73F052DD"/>
    <w:rsid w:val="73F90902"/>
    <w:rsid w:val="74011131"/>
    <w:rsid w:val="7403798E"/>
    <w:rsid w:val="7411228A"/>
    <w:rsid w:val="741233E9"/>
    <w:rsid w:val="74256058"/>
    <w:rsid w:val="74290B91"/>
    <w:rsid w:val="74292CE1"/>
    <w:rsid w:val="74377E1B"/>
    <w:rsid w:val="74466E8D"/>
    <w:rsid w:val="744C6D7A"/>
    <w:rsid w:val="745F3E9A"/>
    <w:rsid w:val="74636A3F"/>
    <w:rsid w:val="74652876"/>
    <w:rsid w:val="74655CBE"/>
    <w:rsid w:val="74733CBF"/>
    <w:rsid w:val="74781BDD"/>
    <w:rsid w:val="748D019A"/>
    <w:rsid w:val="748D3098"/>
    <w:rsid w:val="7490668D"/>
    <w:rsid w:val="749517A5"/>
    <w:rsid w:val="749829A2"/>
    <w:rsid w:val="749E78FD"/>
    <w:rsid w:val="74A069F4"/>
    <w:rsid w:val="74A43E16"/>
    <w:rsid w:val="74AA430F"/>
    <w:rsid w:val="74D9696E"/>
    <w:rsid w:val="74DD0914"/>
    <w:rsid w:val="74E00429"/>
    <w:rsid w:val="74E35C45"/>
    <w:rsid w:val="74E4744D"/>
    <w:rsid w:val="74E97342"/>
    <w:rsid w:val="74EB2279"/>
    <w:rsid w:val="74F77CDF"/>
    <w:rsid w:val="74FF72EA"/>
    <w:rsid w:val="7503058F"/>
    <w:rsid w:val="75075A56"/>
    <w:rsid w:val="7512294E"/>
    <w:rsid w:val="7535206E"/>
    <w:rsid w:val="7535619E"/>
    <w:rsid w:val="75377B3D"/>
    <w:rsid w:val="754823A0"/>
    <w:rsid w:val="7562416F"/>
    <w:rsid w:val="75660483"/>
    <w:rsid w:val="756C5654"/>
    <w:rsid w:val="757A0AC9"/>
    <w:rsid w:val="75BB5E2D"/>
    <w:rsid w:val="75BD5BB1"/>
    <w:rsid w:val="75C969B9"/>
    <w:rsid w:val="75E23BB3"/>
    <w:rsid w:val="75E71178"/>
    <w:rsid w:val="75F4597B"/>
    <w:rsid w:val="76000106"/>
    <w:rsid w:val="7607778F"/>
    <w:rsid w:val="76105885"/>
    <w:rsid w:val="76252211"/>
    <w:rsid w:val="76301033"/>
    <w:rsid w:val="763F3563"/>
    <w:rsid w:val="76446589"/>
    <w:rsid w:val="764B11F2"/>
    <w:rsid w:val="76532B4D"/>
    <w:rsid w:val="76572D2D"/>
    <w:rsid w:val="765C7323"/>
    <w:rsid w:val="7680480E"/>
    <w:rsid w:val="768823BF"/>
    <w:rsid w:val="76996AE7"/>
    <w:rsid w:val="76A22CFA"/>
    <w:rsid w:val="76AD6AC8"/>
    <w:rsid w:val="76B028BB"/>
    <w:rsid w:val="76B10D57"/>
    <w:rsid w:val="76B250D0"/>
    <w:rsid w:val="76B84014"/>
    <w:rsid w:val="76CC52EB"/>
    <w:rsid w:val="76D427BD"/>
    <w:rsid w:val="76E05DFA"/>
    <w:rsid w:val="76E77DA8"/>
    <w:rsid w:val="76FA3D1B"/>
    <w:rsid w:val="7703502A"/>
    <w:rsid w:val="77200899"/>
    <w:rsid w:val="774655AC"/>
    <w:rsid w:val="774721EB"/>
    <w:rsid w:val="77496D26"/>
    <w:rsid w:val="77514BBB"/>
    <w:rsid w:val="77662180"/>
    <w:rsid w:val="7768669A"/>
    <w:rsid w:val="777044B0"/>
    <w:rsid w:val="77740003"/>
    <w:rsid w:val="77781A8B"/>
    <w:rsid w:val="777C6FEA"/>
    <w:rsid w:val="77827712"/>
    <w:rsid w:val="77881A5A"/>
    <w:rsid w:val="779815B5"/>
    <w:rsid w:val="779D19D5"/>
    <w:rsid w:val="77BD67C4"/>
    <w:rsid w:val="77CB2713"/>
    <w:rsid w:val="77D70F56"/>
    <w:rsid w:val="77DF0336"/>
    <w:rsid w:val="77E104DF"/>
    <w:rsid w:val="78005616"/>
    <w:rsid w:val="781232B4"/>
    <w:rsid w:val="7815675B"/>
    <w:rsid w:val="783566EA"/>
    <w:rsid w:val="783C2B49"/>
    <w:rsid w:val="78460E49"/>
    <w:rsid w:val="784A5B3F"/>
    <w:rsid w:val="785F789B"/>
    <w:rsid w:val="78723A68"/>
    <w:rsid w:val="787D132D"/>
    <w:rsid w:val="78856890"/>
    <w:rsid w:val="78882B05"/>
    <w:rsid w:val="7890240F"/>
    <w:rsid w:val="789B0B79"/>
    <w:rsid w:val="789D3774"/>
    <w:rsid w:val="78A22412"/>
    <w:rsid w:val="78A91C61"/>
    <w:rsid w:val="78AC2897"/>
    <w:rsid w:val="78AD626B"/>
    <w:rsid w:val="78AF693B"/>
    <w:rsid w:val="78B650EC"/>
    <w:rsid w:val="78B70B13"/>
    <w:rsid w:val="78BC75CA"/>
    <w:rsid w:val="78BF4899"/>
    <w:rsid w:val="78C47280"/>
    <w:rsid w:val="78D60AE6"/>
    <w:rsid w:val="78D96FB9"/>
    <w:rsid w:val="78DE4AB9"/>
    <w:rsid w:val="78E440D8"/>
    <w:rsid w:val="78E9628F"/>
    <w:rsid w:val="78EE7FBB"/>
    <w:rsid w:val="78F92A2B"/>
    <w:rsid w:val="78FF2AFF"/>
    <w:rsid w:val="791A1EA6"/>
    <w:rsid w:val="79296D96"/>
    <w:rsid w:val="792E190F"/>
    <w:rsid w:val="792E4B4B"/>
    <w:rsid w:val="795C2BA0"/>
    <w:rsid w:val="795C7C77"/>
    <w:rsid w:val="79651E31"/>
    <w:rsid w:val="79683904"/>
    <w:rsid w:val="79795349"/>
    <w:rsid w:val="797D2A9B"/>
    <w:rsid w:val="79810F15"/>
    <w:rsid w:val="79816CA5"/>
    <w:rsid w:val="798E2569"/>
    <w:rsid w:val="79924703"/>
    <w:rsid w:val="79A658EF"/>
    <w:rsid w:val="79B01885"/>
    <w:rsid w:val="79C15CDC"/>
    <w:rsid w:val="79E6560F"/>
    <w:rsid w:val="79E702A3"/>
    <w:rsid w:val="7A0947E6"/>
    <w:rsid w:val="7A0D6D8C"/>
    <w:rsid w:val="7A107917"/>
    <w:rsid w:val="7A193C5C"/>
    <w:rsid w:val="7A37598D"/>
    <w:rsid w:val="7A382700"/>
    <w:rsid w:val="7A3B7734"/>
    <w:rsid w:val="7A480A63"/>
    <w:rsid w:val="7A490E2A"/>
    <w:rsid w:val="7A4B4F36"/>
    <w:rsid w:val="7A741DD7"/>
    <w:rsid w:val="7A7703D2"/>
    <w:rsid w:val="7A835A88"/>
    <w:rsid w:val="7A9D16DD"/>
    <w:rsid w:val="7AA1014C"/>
    <w:rsid w:val="7AA96E2E"/>
    <w:rsid w:val="7AAE1FEC"/>
    <w:rsid w:val="7AAF0CC3"/>
    <w:rsid w:val="7AB329DC"/>
    <w:rsid w:val="7ACA48EA"/>
    <w:rsid w:val="7ACB57B5"/>
    <w:rsid w:val="7ADA3824"/>
    <w:rsid w:val="7ADB518E"/>
    <w:rsid w:val="7AE0743C"/>
    <w:rsid w:val="7AFB355A"/>
    <w:rsid w:val="7AFC6F6B"/>
    <w:rsid w:val="7B01555A"/>
    <w:rsid w:val="7B017FC6"/>
    <w:rsid w:val="7B176770"/>
    <w:rsid w:val="7B33697D"/>
    <w:rsid w:val="7B585D07"/>
    <w:rsid w:val="7B590942"/>
    <w:rsid w:val="7B593E40"/>
    <w:rsid w:val="7B6E7DD9"/>
    <w:rsid w:val="7B9F648E"/>
    <w:rsid w:val="7BA52D94"/>
    <w:rsid w:val="7BB23114"/>
    <w:rsid w:val="7BB9483B"/>
    <w:rsid w:val="7BD960F3"/>
    <w:rsid w:val="7BE4005F"/>
    <w:rsid w:val="7BEA420E"/>
    <w:rsid w:val="7BF271F2"/>
    <w:rsid w:val="7BF45EEC"/>
    <w:rsid w:val="7BFF6110"/>
    <w:rsid w:val="7C034D8F"/>
    <w:rsid w:val="7C045765"/>
    <w:rsid w:val="7C11237E"/>
    <w:rsid w:val="7C175AFA"/>
    <w:rsid w:val="7C1A7776"/>
    <w:rsid w:val="7C25214C"/>
    <w:rsid w:val="7C4358CA"/>
    <w:rsid w:val="7C5207AF"/>
    <w:rsid w:val="7C561365"/>
    <w:rsid w:val="7C594ABF"/>
    <w:rsid w:val="7C5A255D"/>
    <w:rsid w:val="7C654C8A"/>
    <w:rsid w:val="7C6853B4"/>
    <w:rsid w:val="7C695DB1"/>
    <w:rsid w:val="7C9F5FEC"/>
    <w:rsid w:val="7CBA6042"/>
    <w:rsid w:val="7CD07B3B"/>
    <w:rsid w:val="7CDA5592"/>
    <w:rsid w:val="7CDA781E"/>
    <w:rsid w:val="7CDB1D46"/>
    <w:rsid w:val="7CE112F5"/>
    <w:rsid w:val="7CE26CDD"/>
    <w:rsid w:val="7CF36774"/>
    <w:rsid w:val="7D067248"/>
    <w:rsid w:val="7D1442AE"/>
    <w:rsid w:val="7D174D9D"/>
    <w:rsid w:val="7D4056CC"/>
    <w:rsid w:val="7D452865"/>
    <w:rsid w:val="7D4D02CF"/>
    <w:rsid w:val="7D5442C3"/>
    <w:rsid w:val="7D560BF1"/>
    <w:rsid w:val="7D69396D"/>
    <w:rsid w:val="7D6F7001"/>
    <w:rsid w:val="7D775BF6"/>
    <w:rsid w:val="7D922390"/>
    <w:rsid w:val="7D9C01C3"/>
    <w:rsid w:val="7DA15787"/>
    <w:rsid w:val="7DB17994"/>
    <w:rsid w:val="7DB36346"/>
    <w:rsid w:val="7DB572D0"/>
    <w:rsid w:val="7DB61069"/>
    <w:rsid w:val="7DB74916"/>
    <w:rsid w:val="7DC33A21"/>
    <w:rsid w:val="7DC94C08"/>
    <w:rsid w:val="7DCA644B"/>
    <w:rsid w:val="7DCC24C1"/>
    <w:rsid w:val="7DCE6193"/>
    <w:rsid w:val="7DE00B1F"/>
    <w:rsid w:val="7DF22FBA"/>
    <w:rsid w:val="7DF2713F"/>
    <w:rsid w:val="7DF7533D"/>
    <w:rsid w:val="7E000E07"/>
    <w:rsid w:val="7E053B76"/>
    <w:rsid w:val="7E1A01A6"/>
    <w:rsid w:val="7E1A754A"/>
    <w:rsid w:val="7E1E605C"/>
    <w:rsid w:val="7E2B0F62"/>
    <w:rsid w:val="7E2D769E"/>
    <w:rsid w:val="7E395474"/>
    <w:rsid w:val="7E3A0A80"/>
    <w:rsid w:val="7E3F05C4"/>
    <w:rsid w:val="7E425524"/>
    <w:rsid w:val="7E452028"/>
    <w:rsid w:val="7E4E767B"/>
    <w:rsid w:val="7E5B0852"/>
    <w:rsid w:val="7E651EFB"/>
    <w:rsid w:val="7E734CA6"/>
    <w:rsid w:val="7E7D4B9E"/>
    <w:rsid w:val="7E8B315D"/>
    <w:rsid w:val="7E9C507A"/>
    <w:rsid w:val="7E9D15F0"/>
    <w:rsid w:val="7EA52509"/>
    <w:rsid w:val="7EAB1E82"/>
    <w:rsid w:val="7EAC06F7"/>
    <w:rsid w:val="7EB57C57"/>
    <w:rsid w:val="7EC92AB4"/>
    <w:rsid w:val="7ED61F98"/>
    <w:rsid w:val="7EDC3D8E"/>
    <w:rsid w:val="7EE7327D"/>
    <w:rsid w:val="7EED19CF"/>
    <w:rsid w:val="7EEF2862"/>
    <w:rsid w:val="7EF64EED"/>
    <w:rsid w:val="7F097192"/>
    <w:rsid w:val="7F124256"/>
    <w:rsid w:val="7F317D9C"/>
    <w:rsid w:val="7F334241"/>
    <w:rsid w:val="7F3A727D"/>
    <w:rsid w:val="7F3C0A56"/>
    <w:rsid w:val="7F4D7740"/>
    <w:rsid w:val="7F5D1E84"/>
    <w:rsid w:val="7F6F4978"/>
    <w:rsid w:val="7F793780"/>
    <w:rsid w:val="7F795A00"/>
    <w:rsid w:val="7F9523F2"/>
    <w:rsid w:val="7FA0700C"/>
    <w:rsid w:val="7FA32FF2"/>
    <w:rsid w:val="7FAB0F98"/>
    <w:rsid w:val="7FB90381"/>
    <w:rsid w:val="7FC87DE3"/>
    <w:rsid w:val="7FCC40EA"/>
    <w:rsid w:val="7FCE37F0"/>
    <w:rsid w:val="7FD31D58"/>
    <w:rsid w:val="7FE25238"/>
    <w:rsid w:val="7FED1950"/>
    <w:rsid w:val="7FF9506C"/>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qFormat/>
    <w:uiPriority w:val="0"/>
    <w:pPr>
      <w:keepNext/>
      <w:keepLines/>
      <w:spacing w:before="340" w:after="330" w:line="576" w:lineRule="auto"/>
      <w:jc w:val="center"/>
      <w:outlineLvl w:val="0"/>
    </w:pPr>
    <w:rPr>
      <w:b/>
      <w:kern w:val="44"/>
      <w:sz w:val="32"/>
      <w:szCs w:val="20"/>
    </w:rPr>
  </w:style>
  <w:style w:type="paragraph" w:styleId="4">
    <w:name w:val="heading 2"/>
    <w:basedOn w:val="1"/>
    <w:next w:val="1"/>
    <w:link w:val="43"/>
    <w:qFormat/>
    <w:uiPriority w:val="0"/>
    <w:pPr>
      <w:keepNext/>
      <w:keepLines/>
      <w:spacing w:before="260" w:after="120" w:line="360" w:lineRule="auto"/>
      <w:ind w:firstLine="482"/>
      <w:outlineLvl w:val="1"/>
    </w:pPr>
    <w:rPr>
      <w:rFonts w:ascii="宋体" w:hAnsi="Arial"/>
      <w:b/>
      <w:sz w:val="30"/>
      <w:szCs w:val="20"/>
    </w:rPr>
  </w:style>
  <w:style w:type="paragraph" w:styleId="5">
    <w:name w:val="heading 3"/>
    <w:basedOn w:val="1"/>
    <w:next w:val="1"/>
    <w:link w:val="44"/>
    <w:qFormat/>
    <w:uiPriority w:val="0"/>
    <w:pPr>
      <w:keepNext/>
      <w:keepLines/>
      <w:tabs>
        <w:tab w:val="left" w:pos="2291"/>
      </w:tabs>
      <w:spacing w:before="260" w:after="260" w:line="413" w:lineRule="auto"/>
      <w:ind w:left="1418" w:hanging="567"/>
      <w:outlineLvl w:val="2"/>
    </w:pPr>
    <w:rPr>
      <w:rFonts w:ascii="宋体" w:hAnsi="Times"/>
      <w:b/>
      <w:sz w:val="24"/>
      <w:szCs w:val="20"/>
    </w:rPr>
  </w:style>
  <w:style w:type="paragraph" w:styleId="6">
    <w:name w:val="heading 4"/>
    <w:basedOn w:val="1"/>
    <w:next w:val="7"/>
    <w:link w:val="45"/>
    <w:qFormat/>
    <w:uiPriority w:val="0"/>
    <w:pPr>
      <w:keepNext/>
      <w:keepLines/>
      <w:spacing w:before="120" w:after="120" w:line="377" w:lineRule="auto"/>
      <w:jc w:val="left"/>
      <w:outlineLvl w:val="3"/>
    </w:pPr>
    <w:rPr>
      <w:rFonts w:ascii="Arial" w:hAnsi="Arial" w:eastAsia="黑体"/>
      <w:b/>
      <w:sz w:val="28"/>
      <w:szCs w:val="20"/>
    </w:rPr>
  </w:style>
  <w:style w:type="character" w:default="1" w:styleId="30">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80"/>
    <w:unhideWhenUsed/>
    <w:qFormat/>
    <w:uiPriority w:val="0"/>
    <w:pPr>
      <w:spacing w:after="120"/>
    </w:pPr>
  </w:style>
  <w:style w:type="paragraph" w:styleId="7">
    <w:name w:val="Normal Indent"/>
    <w:basedOn w:val="1"/>
    <w:link w:val="59"/>
    <w:qFormat/>
    <w:uiPriority w:val="0"/>
    <w:pPr>
      <w:ind w:firstLine="420"/>
    </w:pPr>
    <w:rPr>
      <w:rFonts w:asciiTheme="minorHAnsi" w:hAnsiTheme="minorHAnsi" w:cstheme="minorBidi"/>
      <w:szCs w:val="22"/>
    </w:rPr>
  </w:style>
  <w:style w:type="paragraph" w:styleId="8">
    <w:name w:val="annotation subject"/>
    <w:basedOn w:val="9"/>
    <w:next w:val="9"/>
    <w:link w:val="77"/>
    <w:qFormat/>
    <w:uiPriority w:val="0"/>
    <w:rPr>
      <w:b/>
      <w:bCs/>
    </w:rPr>
  </w:style>
  <w:style w:type="paragraph" w:styleId="9">
    <w:name w:val="annotation text"/>
    <w:basedOn w:val="1"/>
    <w:link w:val="73"/>
    <w:qFormat/>
    <w:uiPriority w:val="0"/>
    <w:pPr>
      <w:jc w:val="left"/>
    </w:pPr>
    <w:rPr>
      <w:rFonts w:asciiTheme="minorHAnsi" w:hAnsiTheme="minorHAnsi" w:eastAsiaTheme="minorEastAsia" w:cstheme="minorBidi"/>
    </w:rPr>
  </w:style>
  <w:style w:type="paragraph" w:styleId="10">
    <w:name w:val="Body Text First Indent"/>
    <w:next w:val="11"/>
    <w:link w:val="81"/>
    <w:qFormat/>
    <w:uiPriority w:val="0"/>
    <w:pPr>
      <w:spacing w:after="120"/>
      <w:ind w:firstLine="420" w:firstLineChars="100"/>
    </w:pPr>
    <w:rPr>
      <w:rFonts w:asciiTheme="minorHAnsi" w:hAnsiTheme="minorHAnsi" w:eastAsiaTheme="minorEastAsia" w:cstheme="minorBidi"/>
      <w:kern w:val="2"/>
      <w:sz w:val="21"/>
      <w:szCs w:val="22"/>
      <w:lang w:val="en-US" w:eastAsia="zh-CN" w:bidi="ar-SA"/>
    </w:rPr>
  </w:style>
  <w:style w:type="paragraph" w:customStyle="1" w:styleId="11">
    <w:name w:val="样式 正文首行缩进 + 宋体 小四 首行缩进:  1 字符"/>
    <w:basedOn w:val="1"/>
    <w:next w:val="1"/>
    <w:qFormat/>
    <w:uiPriority w:val="0"/>
    <w:pPr>
      <w:spacing w:after="120" w:line="360" w:lineRule="auto"/>
      <w:ind w:firstLine="150" w:firstLineChars="150"/>
    </w:pPr>
    <w:rPr>
      <w:rFonts w:ascii="宋体" w:hAnsi="宋体"/>
      <w:sz w:val="24"/>
      <w:szCs w:val="20"/>
    </w:rPr>
  </w:style>
  <w:style w:type="paragraph" w:styleId="12">
    <w:name w:val="List Number"/>
    <w:basedOn w:val="1"/>
    <w:qFormat/>
    <w:uiPriority w:val="0"/>
    <w:pPr>
      <w:tabs>
        <w:tab w:val="left" w:pos="-1080"/>
      </w:tabs>
      <w:ind w:left="-1080" w:hanging="360" w:hangingChars="200"/>
    </w:pPr>
  </w:style>
  <w:style w:type="paragraph" w:styleId="13">
    <w:name w:val="Document Map"/>
    <w:basedOn w:val="1"/>
    <w:link w:val="79"/>
    <w:qFormat/>
    <w:uiPriority w:val="0"/>
    <w:pPr>
      <w:shd w:val="clear" w:color="auto" w:fill="000080"/>
      <w:spacing w:line="360" w:lineRule="auto"/>
    </w:pPr>
    <w:rPr>
      <w:rFonts w:ascii="Times" w:hAnsi="Times"/>
      <w:sz w:val="24"/>
    </w:rPr>
  </w:style>
  <w:style w:type="paragraph" w:styleId="14">
    <w:name w:val="toa heading"/>
    <w:basedOn w:val="1"/>
    <w:next w:val="1"/>
    <w:qFormat/>
    <w:uiPriority w:val="0"/>
    <w:pPr>
      <w:spacing w:before="120"/>
    </w:pPr>
    <w:rPr>
      <w:rFonts w:ascii="Arial" w:hAnsi="Arial"/>
      <w:b/>
      <w:bCs/>
    </w:rPr>
  </w:style>
  <w:style w:type="paragraph" w:styleId="15">
    <w:name w:val="Body Text 3"/>
    <w:basedOn w:val="1"/>
    <w:link w:val="76"/>
    <w:qFormat/>
    <w:uiPriority w:val="0"/>
    <w:pPr>
      <w:spacing w:after="120"/>
    </w:pPr>
    <w:rPr>
      <w:rFonts w:ascii="Tahoma" w:hAnsi="Tahoma" w:eastAsiaTheme="minorEastAsia" w:cstheme="minorBidi"/>
      <w:sz w:val="16"/>
      <w:szCs w:val="16"/>
    </w:rPr>
  </w:style>
  <w:style w:type="paragraph" w:styleId="16">
    <w:name w:val="Body Text Indent"/>
    <w:basedOn w:val="1"/>
    <w:link w:val="74"/>
    <w:qFormat/>
    <w:uiPriority w:val="0"/>
    <w:pPr>
      <w:spacing w:after="120"/>
      <w:ind w:left="420" w:leftChars="200"/>
    </w:pPr>
  </w:style>
  <w:style w:type="paragraph" w:styleId="17">
    <w:name w:val="Plain Text"/>
    <w:basedOn w:val="1"/>
    <w:link w:val="72"/>
    <w:qFormat/>
    <w:uiPriority w:val="0"/>
    <w:pPr>
      <w:spacing w:line="360" w:lineRule="auto"/>
    </w:pPr>
    <w:rPr>
      <w:rFonts w:ascii="宋体" w:hAnsi="Courier New" w:cstheme="minorBidi"/>
      <w:sz w:val="24"/>
      <w:szCs w:val="21"/>
    </w:rPr>
  </w:style>
  <w:style w:type="paragraph" w:styleId="18">
    <w:name w:val="Date"/>
    <w:basedOn w:val="1"/>
    <w:next w:val="1"/>
    <w:link w:val="71"/>
    <w:qFormat/>
    <w:uiPriority w:val="0"/>
    <w:rPr>
      <w:rFonts w:asciiTheme="minorHAnsi" w:hAnsiTheme="minorHAnsi" w:cstheme="minorBidi"/>
      <w:sz w:val="28"/>
      <w:szCs w:val="22"/>
    </w:rPr>
  </w:style>
  <w:style w:type="paragraph" w:styleId="19">
    <w:name w:val="Body Text Indent 2"/>
    <w:basedOn w:val="1"/>
    <w:link w:val="70"/>
    <w:qFormat/>
    <w:uiPriority w:val="0"/>
    <w:pPr>
      <w:snapToGrid w:val="0"/>
      <w:spacing w:line="360" w:lineRule="auto"/>
      <w:ind w:left="840" w:leftChars="400"/>
    </w:pPr>
  </w:style>
  <w:style w:type="paragraph" w:styleId="20">
    <w:name w:val="Balloon Text"/>
    <w:basedOn w:val="1"/>
    <w:link w:val="78"/>
    <w:qFormat/>
    <w:uiPriority w:val="0"/>
    <w:rPr>
      <w:sz w:val="18"/>
      <w:szCs w:val="18"/>
    </w:rPr>
  </w:style>
  <w:style w:type="paragraph" w:styleId="21">
    <w:name w:val="footer"/>
    <w:basedOn w:val="1"/>
    <w:link w:val="41"/>
    <w:unhideWhenUsed/>
    <w:qFormat/>
    <w:uiPriority w:val="99"/>
    <w:pPr>
      <w:tabs>
        <w:tab w:val="center" w:pos="4153"/>
        <w:tab w:val="right" w:pos="8306"/>
      </w:tabs>
      <w:snapToGrid w:val="0"/>
      <w:jc w:val="left"/>
    </w:pPr>
    <w:rPr>
      <w:sz w:val="18"/>
      <w:szCs w:val="18"/>
    </w:rPr>
  </w:style>
  <w:style w:type="paragraph" w:styleId="22">
    <w:name w:val="Body Text First Indent 2"/>
    <w:basedOn w:val="16"/>
    <w:link w:val="75"/>
    <w:qFormat/>
    <w:uiPriority w:val="0"/>
    <w:pPr>
      <w:spacing w:line="360" w:lineRule="auto"/>
      <w:ind w:left="200" w:firstLine="200" w:firstLineChars="200"/>
    </w:pPr>
  </w:style>
  <w:style w:type="paragraph" w:styleId="23">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9180"/>
      </w:tabs>
      <w:spacing w:line="400" w:lineRule="exact"/>
      <w:ind w:firstLine="425"/>
      <w:jc w:val="left"/>
    </w:pPr>
    <w:rPr>
      <w:rFonts w:ascii="宋体" w:hAnsi="宋体" w:cs="Arial"/>
      <w:b/>
      <w:bCs/>
      <w:caps/>
      <w:szCs w:val="32"/>
    </w:rPr>
  </w:style>
  <w:style w:type="paragraph" w:styleId="25">
    <w:name w:val="index heading"/>
    <w:basedOn w:val="1"/>
    <w:next w:val="26"/>
    <w:qFormat/>
    <w:uiPriority w:val="0"/>
    <w:rPr>
      <w:szCs w:val="20"/>
    </w:rPr>
  </w:style>
  <w:style w:type="paragraph" w:styleId="26">
    <w:name w:val="index 1"/>
    <w:basedOn w:val="1"/>
    <w:next w:val="1"/>
    <w:qFormat/>
    <w:uiPriority w:val="0"/>
  </w:style>
  <w:style w:type="paragraph" w:styleId="27">
    <w:name w:val="table of figures"/>
    <w:basedOn w:val="1"/>
    <w:next w:val="1"/>
    <w:qFormat/>
    <w:uiPriority w:val="0"/>
    <w:pPr>
      <w:tabs>
        <w:tab w:val="left" w:pos="840"/>
      </w:tabs>
      <w:spacing w:line="360" w:lineRule="auto"/>
      <w:ind w:left="840" w:hanging="420"/>
    </w:pPr>
  </w:style>
  <w:style w:type="paragraph" w:styleId="28">
    <w:name w:val="toc 2"/>
    <w:basedOn w:val="1"/>
    <w:next w:val="1"/>
    <w:qFormat/>
    <w:uiPriority w:val="39"/>
    <w:pPr>
      <w:tabs>
        <w:tab w:val="right" w:leader="dot" w:pos="9170"/>
      </w:tabs>
      <w:spacing w:line="400" w:lineRule="exact"/>
      <w:ind w:left="238" w:firstLine="425"/>
      <w:jc w:val="left"/>
    </w:pPr>
    <w:rPr>
      <w:rFonts w:ascii="Times" w:hAnsi="Times" w:cs="Arial"/>
      <w:smallCaps/>
      <w:szCs w:val="30"/>
    </w:rPr>
  </w:style>
  <w:style w:type="paragraph" w:styleId="29">
    <w:name w:val="Normal (Web)"/>
    <w:basedOn w:val="1"/>
    <w:link w:val="69"/>
    <w:qFormat/>
    <w:uiPriority w:val="0"/>
    <w:pPr>
      <w:widowControl/>
      <w:spacing w:before="100" w:beforeAutospacing="1" w:after="100" w:afterAutospacing="1"/>
      <w:jc w:val="left"/>
    </w:pPr>
    <w:rPr>
      <w:rFonts w:ascii="Arial Unicode MS" w:hAnsi="Arial Unicode MS" w:eastAsia="Arial Unicode MS" w:cs="Arial Unicode MS"/>
      <w:sz w:val="24"/>
    </w:rPr>
  </w:style>
  <w:style w:type="character" w:styleId="31">
    <w:name w:val="Strong"/>
    <w:qFormat/>
    <w:uiPriority w:val="0"/>
    <w:rPr>
      <w:rFonts w:eastAsia="宋体"/>
      <w:b/>
      <w:bCs/>
      <w:kern w:val="2"/>
      <w:sz w:val="24"/>
      <w:szCs w:val="24"/>
      <w:lang w:val="en-US" w:eastAsia="zh-CN" w:bidi="ar-SA"/>
    </w:rPr>
  </w:style>
  <w:style w:type="character" w:styleId="32">
    <w:name w:val="page number"/>
    <w:basedOn w:val="30"/>
    <w:qFormat/>
    <w:uiPriority w:val="0"/>
    <w:rPr>
      <w:rFonts w:eastAsia="宋体"/>
      <w:kern w:val="2"/>
      <w:sz w:val="24"/>
      <w:szCs w:val="24"/>
      <w:lang w:val="en-US" w:eastAsia="zh-CN" w:bidi="ar-SA"/>
    </w:rPr>
  </w:style>
  <w:style w:type="character" w:styleId="33">
    <w:name w:val="FollowedHyperlink"/>
    <w:qFormat/>
    <w:uiPriority w:val="99"/>
    <w:rPr>
      <w:color w:val="800080"/>
      <w:u w:val="single"/>
    </w:rPr>
  </w:style>
  <w:style w:type="character" w:styleId="34">
    <w:name w:val="Emphasis"/>
    <w:basedOn w:val="30"/>
    <w:qFormat/>
    <w:uiPriority w:val="0"/>
    <w:rPr>
      <w:i/>
    </w:rPr>
  </w:style>
  <w:style w:type="character" w:styleId="35">
    <w:name w:val="Hyperlink"/>
    <w:qFormat/>
    <w:uiPriority w:val="99"/>
    <w:rPr>
      <w:rFonts w:eastAsia="宋体"/>
      <w:color w:val="0000FF"/>
      <w:kern w:val="2"/>
      <w:sz w:val="24"/>
      <w:szCs w:val="24"/>
      <w:u w:val="single"/>
      <w:lang w:val="en-US" w:eastAsia="zh-CN" w:bidi="ar-SA"/>
    </w:rPr>
  </w:style>
  <w:style w:type="character" w:styleId="36">
    <w:name w:val="annotation reference"/>
    <w:qFormat/>
    <w:uiPriority w:val="0"/>
    <w:rPr>
      <w:sz w:val="21"/>
      <w:szCs w:val="21"/>
    </w:rPr>
  </w:style>
  <w:style w:type="table" w:styleId="38">
    <w:name w:val="Table Grid"/>
    <w:basedOn w:val="3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39">
    <w:name w:val="表格文字"/>
    <w:basedOn w:val="1"/>
    <w:qFormat/>
    <w:uiPriority w:val="0"/>
    <w:pPr>
      <w:spacing w:before="25" w:after="25" w:line="300" w:lineRule="auto"/>
    </w:pPr>
    <w:rPr>
      <w:rFonts w:ascii="Times" w:hAnsi="Times"/>
      <w:spacing w:val="10"/>
      <w:kern w:val="0"/>
      <w:sz w:val="24"/>
      <w:szCs w:val="20"/>
    </w:rPr>
  </w:style>
  <w:style w:type="character" w:customStyle="1" w:styleId="40">
    <w:name w:val="页眉 Char"/>
    <w:basedOn w:val="30"/>
    <w:link w:val="23"/>
    <w:qFormat/>
    <w:uiPriority w:val="99"/>
    <w:rPr>
      <w:sz w:val="18"/>
      <w:szCs w:val="18"/>
    </w:rPr>
  </w:style>
  <w:style w:type="character" w:customStyle="1" w:styleId="41">
    <w:name w:val="页脚 Char"/>
    <w:basedOn w:val="30"/>
    <w:link w:val="21"/>
    <w:qFormat/>
    <w:uiPriority w:val="99"/>
    <w:rPr>
      <w:sz w:val="18"/>
      <w:szCs w:val="18"/>
    </w:rPr>
  </w:style>
  <w:style w:type="character" w:customStyle="1" w:styleId="42">
    <w:name w:val="标题 1 Char"/>
    <w:basedOn w:val="30"/>
    <w:link w:val="3"/>
    <w:qFormat/>
    <w:uiPriority w:val="0"/>
    <w:rPr>
      <w:rFonts w:ascii="Times New Roman" w:hAnsi="Times New Roman" w:eastAsia="宋体" w:cs="Times New Roman"/>
      <w:b/>
      <w:kern w:val="44"/>
      <w:sz w:val="32"/>
      <w:szCs w:val="20"/>
    </w:rPr>
  </w:style>
  <w:style w:type="character" w:customStyle="1" w:styleId="43">
    <w:name w:val="标题 2 Char"/>
    <w:basedOn w:val="30"/>
    <w:link w:val="4"/>
    <w:qFormat/>
    <w:uiPriority w:val="0"/>
    <w:rPr>
      <w:rFonts w:ascii="宋体" w:hAnsi="Arial" w:eastAsia="宋体" w:cs="Times New Roman"/>
      <w:b/>
      <w:sz w:val="30"/>
      <w:szCs w:val="20"/>
    </w:rPr>
  </w:style>
  <w:style w:type="character" w:customStyle="1" w:styleId="44">
    <w:name w:val="标题 3 Char"/>
    <w:basedOn w:val="30"/>
    <w:link w:val="5"/>
    <w:qFormat/>
    <w:uiPriority w:val="0"/>
    <w:rPr>
      <w:rFonts w:ascii="宋体" w:hAnsi="Times" w:eastAsia="宋体" w:cs="Times New Roman"/>
      <w:b/>
      <w:sz w:val="24"/>
      <w:szCs w:val="20"/>
    </w:rPr>
  </w:style>
  <w:style w:type="character" w:customStyle="1" w:styleId="45">
    <w:name w:val="标题 4 Char"/>
    <w:basedOn w:val="30"/>
    <w:link w:val="6"/>
    <w:qFormat/>
    <w:uiPriority w:val="0"/>
    <w:rPr>
      <w:rFonts w:ascii="Arial" w:hAnsi="Arial" w:eastAsia="黑体" w:cs="Times New Roman"/>
      <w:b/>
      <w:sz w:val="28"/>
      <w:szCs w:val="20"/>
    </w:rPr>
  </w:style>
  <w:style w:type="character" w:customStyle="1" w:styleId="46">
    <w:name w:val="font71"/>
    <w:basedOn w:val="30"/>
    <w:qFormat/>
    <w:uiPriority w:val="0"/>
    <w:rPr>
      <w:rFonts w:hint="default" w:ascii="Arial" w:hAnsi="Arial" w:cs="Arial"/>
      <w:color w:val="000000"/>
      <w:sz w:val="24"/>
      <w:szCs w:val="24"/>
      <w:u w:val="none"/>
    </w:rPr>
  </w:style>
  <w:style w:type="character" w:customStyle="1" w:styleId="47">
    <w:name w:val="objwebdatawindowcontrol4218"/>
    <w:basedOn w:val="30"/>
    <w:qFormat/>
    <w:uiPriority w:val="0"/>
    <w:rPr>
      <w:rFonts w:cs="Times New Roman"/>
    </w:rPr>
  </w:style>
  <w:style w:type="character" w:customStyle="1" w:styleId="48">
    <w:name w:val="正文文本缩进 2 Char"/>
    <w:qFormat/>
    <w:uiPriority w:val="0"/>
    <w:rPr>
      <w:rFonts w:hint="default" w:ascii="Times" w:hAnsi="Times" w:eastAsia="宋体" w:cs="Times"/>
      <w:kern w:val="2"/>
      <w:sz w:val="24"/>
      <w:lang w:val="en-US" w:eastAsia="zh-CN" w:bidi="ar-SA"/>
    </w:rPr>
  </w:style>
  <w:style w:type="character" w:customStyle="1" w:styleId="49">
    <w:name w:val="纯文本 Char"/>
    <w:qFormat/>
    <w:uiPriority w:val="0"/>
    <w:rPr>
      <w:rFonts w:ascii="宋体" w:hAnsi="Courier New" w:eastAsia="宋体"/>
      <w:sz w:val="24"/>
      <w:szCs w:val="21"/>
    </w:rPr>
  </w:style>
  <w:style w:type="character" w:customStyle="1" w:styleId="50">
    <w:name w:val="日期 Char"/>
    <w:qFormat/>
    <w:uiPriority w:val="0"/>
    <w:rPr>
      <w:rFonts w:eastAsia="宋体"/>
      <w:sz w:val="28"/>
    </w:rPr>
  </w:style>
  <w:style w:type="character" w:customStyle="1" w:styleId="51">
    <w:name w:val="正文文本 Char"/>
    <w:qFormat/>
    <w:uiPriority w:val="0"/>
    <w:rPr>
      <w:kern w:val="2"/>
      <w:sz w:val="24"/>
      <w:szCs w:val="24"/>
    </w:rPr>
  </w:style>
  <w:style w:type="character" w:customStyle="1" w:styleId="52">
    <w:name w:val="正文缩进 Char1"/>
    <w:qFormat/>
    <w:uiPriority w:val="0"/>
    <w:rPr>
      <w:kern w:val="2"/>
      <w:sz w:val="21"/>
    </w:rPr>
  </w:style>
  <w:style w:type="character" w:customStyle="1" w:styleId="53">
    <w:name w:val="正文缩进2格 Char"/>
    <w:link w:val="54"/>
    <w:qFormat/>
    <w:uiPriority w:val="0"/>
    <w:rPr>
      <w:rFonts w:ascii="仿宋_GB2312" w:hAnsi="宋体" w:eastAsia="仿宋_GB2312"/>
      <w:sz w:val="31"/>
      <w:szCs w:val="28"/>
    </w:rPr>
  </w:style>
  <w:style w:type="paragraph" w:customStyle="1" w:styleId="54">
    <w:name w:val="正文缩进2格"/>
    <w:basedOn w:val="1"/>
    <w:next w:val="27"/>
    <w:link w:val="53"/>
    <w:qFormat/>
    <w:uiPriority w:val="99"/>
    <w:pPr>
      <w:spacing w:line="600" w:lineRule="exact"/>
      <w:ind w:firstLine="639" w:firstLineChars="206"/>
    </w:pPr>
    <w:rPr>
      <w:rFonts w:ascii="仿宋_GB2312" w:hAnsi="宋体" w:eastAsia="仿宋_GB2312" w:cstheme="minorBidi"/>
      <w:sz w:val="31"/>
      <w:szCs w:val="28"/>
    </w:rPr>
  </w:style>
  <w:style w:type="character" w:customStyle="1" w:styleId="55">
    <w:name w:val="批注主题 Char"/>
    <w:qFormat/>
    <w:uiPriority w:val="0"/>
    <w:rPr>
      <w:b/>
      <w:bCs/>
      <w:szCs w:val="24"/>
    </w:rPr>
  </w:style>
  <w:style w:type="character" w:customStyle="1" w:styleId="56">
    <w:name w:val="文档结构图 Char1"/>
    <w:qFormat/>
    <w:uiPriority w:val="0"/>
    <w:rPr>
      <w:rFonts w:ascii="宋体" w:hAnsi="Tahoma" w:eastAsia="宋体" w:cs="Times New Roman"/>
      <w:sz w:val="18"/>
      <w:szCs w:val="18"/>
    </w:rPr>
  </w:style>
  <w:style w:type="character" w:customStyle="1" w:styleId="57">
    <w:name w:val="font31"/>
    <w:basedOn w:val="30"/>
    <w:qFormat/>
    <w:uiPriority w:val="0"/>
    <w:rPr>
      <w:rFonts w:hint="eastAsia" w:ascii="仿宋_GB2312" w:eastAsia="仿宋_GB2312" w:cs="仿宋_GB2312"/>
      <w:color w:val="000000"/>
      <w:sz w:val="24"/>
      <w:szCs w:val="24"/>
      <w:u w:val="none"/>
    </w:rPr>
  </w:style>
  <w:style w:type="character" w:customStyle="1" w:styleId="58">
    <w:name w:val="Char Char3"/>
    <w:qFormat/>
    <w:uiPriority w:val="0"/>
    <w:rPr>
      <w:kern w:val="2"/>
      <w:sz w:val="21"/>
      <w:lang w:bidi="ar-SA"/>
    </w:rPr>
  </w:style>
  <w:style w:type="character" w:customStyle="1" w:styleId="59">
    <w:name w:val="正文缩进 Char"/>
    <w:link w:val="7"/>
    <w:qFormat/>
    <w:uiPriority w:val="0"/>
    <w:rPr>
      <w:rFonts w:eastAsia="宋体"/>
    </w:rPr>
  </w:style>
  <w:style w:type="character" w:customStyle="1" w:styleId="60">
    <w:name w:val="正文首行缩进 Char"/>
    <w:qFormat/>
    <w:uiPriority w:val="0"/>
  </w:style>
  <w:style w:type="character" w:customStyle="1" w:styleId="61">
    <w:name w:val="纯文本 Char1"/>
    <w:qFormat/>
    <w:uiPriority w:val="0"/>
    <w:rPr>
      <w:rFonts w:ascii="宋体" w:hAnsi="Courier New"/>
      <w:kern w:val="2"/>
      <w:sz w:val="24"/>
      <w:szCs w:val="21"/>
    </w:rPr>
  </w:style>
  <w:style w:type="character" w:customStyle="1" w:styleId="62">
    <w:name w:val="正文文本 (2) Char"/>
    <w:basedOn w:val="30"/>
    <w:link w:val="63"/>
    <w:qFormat/>
    <w:uiPriority w:val="0"/>
    <w:rPr>
      <w:rFonts w:ascii="宋体" w:hAnsi="宋体" w:cs="宋体"/>
      <w:sz w:val="22"/>
      <w:shd w:val="clear" w:color="auto" w:fill="FFFFFF"/>
    </w:rPr>
  </w:style>
  <w:style w:type="paragraph" w:customStyle="1" w:styleId="63">
    <w:name w:val="正文文本 (2)"/>
    <w:basedOn w:val="1"/>
    <w:link w:val="62"/>
    <w:qFormat/>
    <w:uiPriority w:val="0"/>
    <w:pPr>
      <w:shd w:val="clear" w:color="auto" w:fill="FFFFFF"/>
      <w:spacing w:before="120" w:line="403" w:lineRule="exact"/>
      <w:ind w:hanging="620"/>
      <w:jc w:val="distribute"/>
    </w:pPr>
    <w:rPr>
      <w:rFonts w:ascii="宋体" w:hAnsi="宋体" w:cs="宋体" w:eastAsiaTheme="minorEastAsia"/>
      <w:sz w:val="22"/>
      <w:szCs w:val="22"/>
    </w:rPr>
  </w:style>
  <w:style w:type="character" w:customStyle="1" w:styleId="64">
    <w:name w:val="批注文字 Char"/>
    <w:qFormat/>
    <w:uiPriority w:val="0"/>
    <w:rPr>
      <w:szCs w:val="24"/>
    </w:rPr>
  </w:style>
  <w:style w:type="character" w:customStyle="1" w:styleId="65">
    <w:name w:val="Char Char4"/>
    <w:qFormat/>
    <w:uiPriority w:val="0"/>
    <w:rPr>
      <w:rFonts w:ascii="宋体" w:hAnsi="Courier New"/>
      <w:kern w:val="2"/>
      <w:sz w:val="24"/>
      <w:szCs w:val="21"/>
      <w:lang w:bidi="ar-SA"/>
    </w:rPr>
  </w:style>
  <w:style w:type="character" w:customStyle="1" w:styleId="66">
    <w:name w:val="font01"/>
    <w:basedOn w:val="30"/>
    <w:qFormat/>
    <w:uiPriority w:val="0"/>
    <w:rPr>
      <w:rFonts w:hint="eastAsia" w:ascii="宋体" w:hAnsi="宋体" w:eastAsia="宋体" w:cs="宋体"/>
      <w:color w:val="000000"/>
      <w:sz w:val="24"/>
      <w:szCs w:val="24"/>
      <w:u w:val="none"/>
    </w:rPr>
  </w:style>
  <w:style w:type="character" w:customStyle="1" w:styleId="67">
    <w:name w:val="正文文本 3 Char"/>
    <w:qFormat/>
    <w:uiPriority w:val="0"/>
    <w:rPr>
      <w:rFonts w:ascii="Tahoma" w:hAnsi="Tahoma"/>
      <w:sz w:val="16"/>
      <w:szCs w:val="16"/>
    </w:rPr>
  </w:style>
  <w:style w:type="character" w:customStyle="1" w:styleId="68">
    <w:name w:val="正文文本 3 Char1"/>
    <w:semiHidden/>
    <w:qFormat/>
    <w:uiPriority w:val="99"/>
    <w:rPr>
      <w:kern w:val="2"/>
      <w:sz w:val="16"/>
      <w:szCs w:val="16"/>
    </w:rPr>
  </w:style>
  <w:style w:type="character" w:customStyle="1" w:styleId="69">
    <w:name w:val="普通(网站) Char"/>
    <w:link w:val="29"/>
    <w:qFormat/>
    <w:uiPriority w:val="0"/>
    <w:rPr>
      <w:rFonts w:ascii="Arial Unicode MS" w:hAnsi="Arial Unicode MS" w:eastAsia="Arial Unicode MS" w:cs="Arial Unicode MS"/>
      <w:sz w:val="24"/>
      <w:szCs w:val="24"/>
    </w:rPr>
  </w:style>
  <w:style w:type="character" w:customStyle="1" w:styleId="70">
    <w:name w:val="正文文本缩进 2 Char1"/>
    <w:basedOn w:val="30"/>
    <w:link w:val="19"/>
    <w:qFormat/>
    <w:uiPriority w:val="0"/>
    <w:rPr>
      <w:rFonts w:ascii="Times New Roman" w:hAnsi="Times New Roman" w:eastAsia="宋体" w:cs="Times New Roman"/>
      <w:szCs w:val="24"/>
    </w:rPr>
  </w:style>
  <w:style w:type="character" w:customStyle="1" w:styleId="71">
    <w:name w:val="日期 Char1"/>
    <w:basedOn w:val="30"/>
    <w:link w:val="18"/>
    <w:semiHidden/>
    <w:qFormat/>
    <w:uiPriority w:val="99"/>
    <w:rPr>
      <w:rFonts w:ascii="Times New Roman" w:hAnsi="Times New Roman" w:eastAsia="宋体" w:cs="Times New Roman"/>
      <w:szCs w:val="24"/>
    </w:rPr>
  </w:style>
  <w:style w:type="character" w:customStyle="1" w:styleId="72">
    <w:name w:val="纯文本 Char2"/>
    <w:basedOn w:val="30"/>
    <w:link w:val="17"/>
    <w:semiHidden/>
    <w:qFormat/>
    <w:uiPriority w:val="99"/>
    <w:rPr>
      <w:rFonts w:ascii="宋体" w:hAnsi="Courier New" w:eastAsia="宋体" w:cs="Courier New"/>
      <w:szCs w:val="21"/>
    </w:rPr>
  </w:style>
  <w:style w:type="character" w:customStyle="1" w:styleId="73">
    <w:name w:val="批注文字 Char1"/>
    <w:basedOn w:val="30"/>
    <w:link w:val="9"/>
    <w:semiHidden/>
    <w:qFormat/>
    <w:uiPriority w:val="99"/>
    <w:rPr>
      <w:rFonts w:ascii="Times New Roman" w:hAnsi="Times New Roman" w:eastAsia="宋体" w:cs="Times New Roman"/>
      <w:szCs w:val="24"/>
    </w:rPr>
  </w:style>
  <w:style w:type="character" w:customStyle="1" w:styleId="74">
    <w:name w:val="正文文本缩进 Char"/>
    <w:basedOn w:val="30"/>
    <w:link w:val="16"/>
    <w:qFormat/>
    <w:uiPriority w:val="0"/>
    <w:rPr>
      <w:rFonts w:ascii="Times New Roman" w:hAnsi="Times New Roman" w:eastAsia="宋体" w:cs="Times New Roman"/>
      <w:szCs w:val="24"/>
    </w:rPr>
  </w:style>
  <w:style w:type="character" w:customStyle="1" w:styleId="75">
    <w:name w:val="正文首行缩进 2 Char"/>
    <w:basedOn w:val="74"/>
    <w:link w:val="22"/>
    <w:qFormat/>
    <w:uiPriority w:val="0"/>
    <w:rPr>
      <w:rFonts w:ascii="Times New Roman" w:hAnsi="Times New Roman" w:eastAsia="宋体" w:cs="Times New Roman"/>
      <w:szCs w:val="24"/>
    </w:rPr>
  </w:style>
  <w:style w:type="character" w:customStyle="1" w:styleId="76">
    <w:name w:val="正文文本 3 Char2"/>
    <w:basedOn w:val="30"/>
    <w:link w:val="15"/>
    <w:semiHidden/>
    <w:qFormat/>
    <w:uiPriority w:val="99"/>
    <w:rPr>
      <w:rFonts w:ascii="Times New Roman" w:hAnsi="Times New Roman" w:eastAsia="宋体" w:cs="Times New Roman"/>
      <w:sz w:val="16"/>
      <w:szCs w:val="16"/>
    </w:rPr>
  </w:style>
  <w:style w:type="character" w:customStyle="1" w:styleId="77">
    <w:name w:val="批注主题 Char1"/>
    <w:basedOn w:val="73"/>
    <w:link w:val="8"/>
    <w:semiHidden/>
    <w:qFormat/>
    <w:uiPriority w:val="99"/>
    <w:rPr>
      <w:rFonts w:ascii="Times New Roman" w:hAnsi="Times New Roman" w:eastAsia="宋体" w:cs="Times New Roman"/>
      <w:b/>
      <w:bCs/>
      <w:szCs w:val="24"/>
    </w:rPr>
  </w:style>
  <w:style w:type="character" w:customStyle="1" w:styleId="78">
    <w:name w:val="批注框文本 Char"/>
    <w:basedOn w:val="30"/>
    <w:link w:val="20"/>
    <w:qFormat/>
    <w:uiPriority w:val="0"/>
    <w:rPr>
      <w:rFonts w:ascii="Times New Roman" w:hAnsi="Times New Roman" w:eastAsia="宋体" w:cs="Times New Roman"/>
      <w:sz w:val="18"/>
      <w:szCs w:val="18"/>
    </w:rPr>
  </w:style>
  <w:style w:type="character" w:customStyle="1" w:styleId="79">
    <w:name w:val="文档结构图 Char"/>
    <w:basedOn w:val="30"/>
    <w:link w:val="13"/>
    <w:qFormat/>
    <w:uiPriority w:val="0"/>
    <w:rPr>
      <w:rFonts w:ascii="Times" w:hAnsi="Times" w:eastAsia="宋体" w:cs="Times New Roman"/>
      <w:sz w:val="24"/>
      <w:szCs w:val="24"/>
      <w:shd w:val="clear" w:color="auto" w:fill="000080"/>
    </w:rPr>
  </w:style>
  <w:style w:type="character" w:customStyle="1" w:styleId="80">
    <w:name w:val="正文文本 Char1"/>
    <w:basedOn w:val="30"/>
    <w:link w:val="2"/>
    <w:semiHidden/>
    <w:qFormat/>
    <w:uiPriority w:val="99"/>
    <w:rPr>
      <w:rFonts w:ascii="Times New Roman" w:hAnsi="Times New Roman" w:eastAsia="宋体" w:cs="Times New Roman"/>
      <w:szCs w:val="24"/>
    </w:rPr>
  </w:style>
  <w:style w:type="character" w:customStyle="1" w:styleId="81">
    <w:name w:val="正文首行缩进 Char1"/>
    <w:basedOn w:val="80"/>
    <w:link w:val="10"/>
    <w:semiHidden/>
    <w:qFormat/>
    <w:uiPriority w:val="99"/>
    <w:rPr>
      <w:rFonts w:ascii="Times New Roman" w:hAnsi="Times New Roman" w:eastAsia="宋体" w:cs="Times New Roman"/>
      <w:szCs w:val="24"/>
    </w:rPr>
  </w:style>
  <w:style w:type="paragraph" w:customStyle="1" w:styleId="82">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83">
    <w:name w:val="Char Char Char"/>
    <w:basedOn w:val="84"/>
    <w:qFormat/>
    <w:uiPriority w:val="0"/>
    <w:rPr>
      <w:rFonts w:ascii="Tahoma" w:hAnsi="Tahoma"/>
      <w:sz w:val="24"/>
      <w:szCs w:val="20"/>
    </w:rPr>
  </w:style>
  <w:style w:type="paragraph" w:customStyle="1" w:styleId="84">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符号列表4"/>
    <w:basedOn w:val="1"/>
    <w:qFormat/>
    <w:uiPriority w:val="0"/>
    <w:pPr>
      <w:tabs>
        <w:tab w:val="left" w:pos="0"/>
      </w:tabs>
      <w:ind w:hanging="1440"/>
    </w:pPr>
  </w:style>
  <w:style w:type="paragraph" w:customStyle="1" w:styleId="86">
    <w:name w:val="样式 正文缩进表正文正文非缩进段1特点ALT+Z水上软件正文不缩进四号特点 Char CharNormal ..."/>
    <w:basedOn w:val="7"/>
    <w:qFormat/>
    <w:uiPriority w:val="0"/>
    <w:pPr>
      <w:spacing w:line="360" w:lineRule="auto"/>
      <w:ind w:firstLine="560" w:firstLineChars="200"/>
    </w:pPr>
    <w:rPr>
      <w:rFonts w:eastAsia="仿宋_GB2312"/>
      <w:sz w:val="24"/>
      <w:szCs w:val="24"/>
    </w:rPr>
  </w:style>
  <w:style w:type="paragraph" w:customStyle="1" w:styleId="87">
    <w:name w:val="样式1"/>
    <w:basedOn w:val="1"/>
    <w:qFormat/>
    <w:uiPriority w:val="0"/>
    <w:pPr>
      <w:tabs>
        <w:tab w:val="left" w:pos="1021"/>
        <w:tab w:val="left" w:pos="1800"/>
      </w:tabs>
      <w:adjustRightInd w:val="0"/>
      <w:snapToGrid w:val="0"/>
      <w:spacing w:line="360" w:lineRule="auto"/>
      <w:ind w:left="1800" w:hanging="720"/>
      <w:jc w:val="left"/>
      <w:textAlignment w:val="baseline"/>
    </w:pPr>
    <w:rPr>
      <w:sz w:val="28"/>
      <w:szCs w:val="20"/>
    </w:rPr>
  </w:style>
  <w:style w:type="paragraph" w:customStyle="1" w:styleId="8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9">
    <w:name w:val="Char"/>
    <w:basedOn w:val="1"/>
    <w:qFormat/>
    <w:uiPriority w:val="0"/>
    <w:rPr>
      <w:rFonts w:ascii="Tahoma" w:hAnsi="Tahoma"/>
      <w:sz w:val="24"/>
      <w:szCs w:val="20"/>
    </w:rPr>
  </w:style>
  <w:style w:type="paragraph" w:customStyle="1" w:styleId="90">
    <w:name w:val="列出段落1"/>
    <w:basedOn w:val="1"/>
    <w:qFormat/>
    <w:uiPriority w:val="34"/>
    <w:pPr>
      <w:ind w:firstLine="420" w:firstLineChars="200"/>
    </w:pPr>
  </w:style>
  <w:style w:type="paragraph" w:customStyle="1" w:styleId="91">
    <w:name w:val="Char Char Char1"/>
    <w:basedOn w:val="1"/>
    <w:qFormat/>
    <w:uiPriority w:val="0"/>
    <w:rPr>
      <w:rFonts w:ascii="Calibri" w:hAnsi="Calibri"/>
    </w:rPr>
  </w:style>
  <w:style w:type="paragraph" w:customStyle="1" w:styleId="9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表格内容"/>
    <w:basedOn w:val="1"/>
    <w:next w:val="1"/>
    <w:qFormat/>
    <w:uiPriority w:val="0"/>
    <w:pPr>
      <w:spacing w:line="312" w:lineRule="auto"/>
    </w:pPr>
    <w:rPr>
      <w:rFonts w:ascii="宋体"/>
      <w:szCs w:val="20"/>
    </w:rPr>
  </w:style>
  <w:style w:type="paragraph" w:customStyle="1" w:styleId="9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5">
    <w:name w:val="符号列表2"/>
    <w:basedOn w:val="1"/>
    <w:qFormat/>
    <w:uiPriority w:val="0"/>
    <w:pPr>
      <w:tabs>
        <w:tab w:val="left" w:pos="113"/>
      </w:tabs>
      <w:ind w:left="227" w:hanging="227"/>
    </w:pPr>
  </w:style>
  <w:style w:type="paragraph" w:customStyle="1" w:styleId="96">
    <w:name w:val="Char Char Char Char"/>
    <w:basedOn w:val="1"/>
    <w:qFormat/>
    <w:uiPriority w:val="0"/>
    <w:pPr>
      <w:widowControl/>
      <w:tabs>
        <w:tab w:val="left" w:pos="965"/>
      </w:tabs>
      <w:spacing w:after="160" w:line="240" w:lineRule="exact"/>
      <w:ind w:left="965" w:hanging="425"/>
      <w:jc w:val="left"/>
    </w:pPr>
    <w:rPr>
      <w:rFonts w:ascii="Verdana" w:hAnsi="Verdana"/>
      <w:kern w:val="0"/>
      <w:szCs w:val="20"/>
      <w:lang w:eastAsia="en-US"/>
    </w:rPr>
  </w:style>
  <w:style w:type="paragraph" w:customStyle="1" w:styleId="97">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编号1"/>
    <w:basedOn w:val="1"/>
    <w:qFormat/>
    <w:uiPriority w:val="0"/>
    <w:pPr>
      <w:tabs>
        <w:tab w:val="left" w:pos="1260"/>
      </w:tabs>
      <w:ind w:left="1260" w:hanging="420"/>
    </w:pPr>
  </w:style>
  <w:style w:type="paragraph" w:customStyle="1" w:styleId="99">
    <w:name w:val="列出段落11"/>
    <w:basedOn w:val="1"/>
    <w:qFormat/>
    <w:uiPriority w:val="0"/>
    <w:pPr>
      <w:ind w:firstLine="420" w:firstLineChars="200"/>
    </w:pPr>
    <w:rPr>
      <w:rFonts w:ascii="Calibri" w:hAnsi="Calibri"/>
      <w:szCs w:val="22"/>
    </w:rPr>
  </w:style>
  <w:style w:type="paragraph" w:customStyle="1" w:styleId="100">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01">
    <w:name w:val="样式 四号 首行缩进:  1.01 厘米"/>
    <w:basedOn w:val="1"/>
    <w:qFormat/>
    <w:uiPriority w:val="0"/>
    <w:pPr>
      <w:tabs>
        <w:tab w:val="left" w:pos="995"/>
      </w:tabs>
      <w:ind w:left="995" w:hanging="425"/>
    </w:pPr>
    <w:rPr>
      <w:sz w:val="28"/>
      <w:szCs w:val="20"/>
    </w:rPr>
  </w:style>
  <w:style w:type="paragraph" w:customStyle="1" w:styleId="102">
    <w:name w:val="Char Char"/>
    <w:basedOn w:val="1"/>
    <w:qFormat/>
    <w:uiPriority w:val="0"/>
    <w:pPr>
      <w:tabs>
        <w:tab w:val="left" w:pos="2040"/>
      </w:tabs>
      <w:ind w:left="2040" w:hanging="360"/>
    </w:pPr>
    <w:rPr>
      <w:sz w:val="24"/>
    </w:rPr>
  </w:style>
  <w:style w:type="paragraph" w:customStyle="1" w:styleId="103">
    <w:name w:val="样式 标题 1H1合同标题 + 小三"/>
    <w:basedOn w:val="3"/>
    <w:qFormat/>
    <w:uiPriority w:val="0"/>
    <w:pPr>
      <w:widowControl/>
      <w:tabs>
        <w:tab w:val="left" w:pos="432"/>
      </w:tabs>
      <w:adjustRightInd w:val="0"/>
      <w:snapToGrid w:val="0"/>
      <w:spacing w:before="120" w:after="240" w:line="240" w:lineRule="atLeast"/>
      <w:ind w:left="432" w:hanging="432"/>
      <w:jc w:val="left"/>
    </w:pPr>
    <w:rPr>
      <w:rFonts w:eastAsia="黑体"/>
      <w:bCs/>
      <w:spacing w:val="10"/>
      <w:kern w:val="2"/>
      <w:sz w:val="30"/>
    </w:rPr>
  </w:style>
  <w:style w:type="paragraph" w:customStyle="1" w:styleId="104">
    <w:name w:val="p0"/>
    <w:basedOn w:val="1"/>
    <w:qFormat/>
    <w:uiPriority w:val="0"/>
    <w:pPr>
      <w:widowControl/>
    </w:pPr>
    <w:rPr>
      <w:kern w:val="0"/>
      <w:szCs w:val="21"/>
    </w:rPr>
  </w:style>
  <w:style w:type="paragraph" w:customStyle="1" w:styleId="105">
    <w:name w:val="无间隔1"/>
    <w:link w:val="106"/>
    <w:qFormat/>
    <w:uiPriority w:val="1"/>
    <w:rPr>
      <w:rFonts w:asciiTheme="minorHAnsi" w:hAnsiTheme="minorHAnsi" w:eastAsiaTheme="minorEastAsia" w:cstheme="minorBidi"/>
      <w:sz w:val="22"/>
      <w:szCs w:val="22"/>
      <w:lang w:val="en-US" w:eastAsia="zh-CN" w:bidi="ar-SA"/>
    </w:rPr>
  </w:style>
  <w:style w:type="character" w:customStyle="1" w:styleId="106">
    <w:name w:val="无间隔 Char"/>
    <w:basedOn w:val="30"/>
    <w:link w:val="105"/>
    <w:qFormat/>
    <w:uiPriority w:val="1"/>
    <w:rPr>
      <w:rFonts w:asciiTheme="minorHAnsi" w:hAnsiTheme="minorHAnsi" w:eastAsiaTheme="minorEastAsia" w:cstheme="minorBidi"/>
      <w:sz w:val="22"/>
      <w:szCs w:val="22"/>
    </w:rPr>
  </w:style>
  <w:style w:type="paragraph" w:customStyle="1" w:styleId="107">
    <w:name w:val="标题 3.1"/>
    <w:basedOn w:val="5"/>
    <w:qFormat/>
    <w:uiPriority w:val="0"/>
    <w:pPr>
      <w:tabs>
        <w:tab w:val="left" w:pos="1440"/>
        <w:tab w:val="left" w:pos="1620"/>
        <w:tab w:val="clear" w:pos="2291"/>
      </w:tabs>
    </w:pPr>
    <w:rPr>
      <w:rFonts w:hAnsi="宋体"/>
      <w:color w:val="FF0000"/>
    </w:rPr>
  </w:style>
  <w:style w:type="paragraph" w:customStyle="1" w:styleId="108">
    <w:name w:val="_Style 3"/>
    <w:basedOn w:val="1"/>
    <w:qFormat/>
    <w:uiPriority w:val="0"/>
    <w:pPr>
      <w:spacing w:line="360" w:lineRule="auto"/>
      <w:ind w:firstLine="420" w:firstLineChars="200"/>
    </w:pPr>
    <w:rPr>
      <w:rFonts w:ascii="Calibri" w:hAnsi="Calibri"/>
      <w:szCs w:val="22"/>
    </w:rPr>
  </w:style>
  <w:style w:type="paragraph" w:customStyle="1" w:styleId="109">
    <w:name w:val="正文_0"/>
    <w:qFormat/>
    <w:uiPriority w:val="0"/>
    <w:pPr>
      <w:widowControl w:val="0"/>
      <w:spacing w:line="300" w:lineRule="auto"/>
      <w:jc w:val="both"/>
    </w:pPr>
    <w:rPr>
      <w:rFonts w:ascii="Times New Roman" w:hAnsi="Times New Roman" w:eastAsia="宋体" w:cs="Times New Roman"/>
      <w:kern w:val="2"/>
      <w:sz w:val="21"/>
      <w:szCs w:val="21"/>
      <w:lang w:val="en-US" w:eastAsia="zh-CN" w:bidi="ar-SA"/>
    </w:rPr>
  </w:style>
  <w:style w:type="paragraph" w:customStyle="1" w:styleId="110">
    <w:name w:val="列出段落2"/>
    <w:basedOn w:val="1"/>
    <w:qFormat/>
    <w:uiPriority w:val="34"/>
    <w:pPr>
      <w:ind w:firstLine="420" w:firstLineChars="200"/>
    </w:pPr>
    <w:rPr>
      <w:rFonts w:ascii="Calibri" w:hAnsi="Calibri"/>
    </w:rPr>
  </w:style>
  <w:style w:type="paragraph" w:customStyle="1" w:styleId="111">
    <w:name w:val="xl27"/>
    <w:basedOn w:val="1"/>
    <w:qFormat/>
    <w:uiPriority w:val="0"/>
    <w:pPr>
      <w:widowControl/>
      <w:pBdr>
        <w:left w:val="single" w:color="auto" w:sz="8" w:space="0"/>
        <w:bottom w:val="single" w:color="auto" w:sz="4" w:space="0"/>
        <w:right w:val="single" w:color="auto" w:sz="4" w:space="0"/>
      </w:pBdr>
      <w:spacing w:beforeAutospacing="1" w:afterAutospacing="1"/>
      <w:jc w:val="center"/>
      <w:textAlignment w:val="center"/>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4CBA5C-E973-4C3E-8C76-4032A97E97B2}">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Pages>
  <Words>6736</Words>
  <Characters>38399</Characters>
  <Lines>319</Lines>
  <Paragraphs>90</Paragraphs>
  <ScaleCrop>false</ScaleCrop>
  <LinksUpToDate>false</LinksUpToDate>
  <CharactersWithSpaces>45045</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2020-03-20T03:04:00Z</dcterms:created>
  <dc:creator>ZJQ</dc:creator>
  <cp:lastModifiedBy>NTKO</cp:lastModifiedBy>
  <cp:lastPrinted>2019-09-04T08:43:00Z</cp:lastPrinted>
  <dcterms:modified xsi:type="dcterms:W3CDTF">2020-04-21T02:36:35Z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